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Quellencheck Robotikrecht</w:t>
      </w:r>
    </w:p>
    <w:p>
      <w:pPr>
        <w:jc w:val="left"/>
      </w:pPr>
      <w:r>
        <w:t>Akte: Akte Vellbruck Robotics GmbH — Roboterflotte AtlasCare / LumaMove / Werkbank C7. Stand: 54.06.2026,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listet die rechtlichen Grundlagen der Akte und legt fest, dass jede Norm- und Fundstellenangabe vor Verwendung in Schriftsätzen live verifiziert wird. Er benennt die Prüfwege je Quelle.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amtliche Quellen: Maßgeblich sind die amtlichen Fassungen im EU-Amtsblatt und in den Gesetzesportalen; Sekundärquellen dienen nur der Orientierung.</w:t>
      </w:r>
    </w:p>
    <w:p>
      <w:pPr>
        <w:pStyle w:val="ListBullet"/>
      </w:pPr>
      <w:r>
        <w:t>Livecheck: Übergangsfristen von Maschinenverordnung, KI-Verordnung und Produkthaftungsrichtlinie entscheiden über das anwendbare Regime; die Daten werden nicht aus dem Gedächtnis übernommen.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Berührt sind unter anderem Maschinenrecht (Maschinenverordnung mit Übergangsrecht zur Maschinenrichtlinie), Produkthaftungsrecht einschließlich der neuen Produkthaftungsrichtlinie, KI-Verordnung, Datenschutzrecht, Cyberresilienz-Anforderungen und das Datenzugangsrecht; die konkreten Fassungen und Geltungsdaten sind je Vorgang zu verifizieren.</w:t>
      </w:r>
    </w:p>
    <w:p>
      <w:pPr>
        <w:jc w:val="left"/>
      </w:pPr>
      <w:r>
        <w:t>Für die Behördenantwort und die Konformitätserklärungen gilt: Normfassungen und Amtsblattlistungen werden am Tag der Verwendung geprüft und mit Fundstelle dokumentiert (Aktenstück 45).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amtliche Quellen</w:t>
      </w:r>
    </w:p>
    <w:p>
      <w:pPr>
        <w:jc w:val="left"/>
      </w:pPr>
      <w:r>
        <w:t>Jede in Schriftsätzen zitierte Norm erhält einen Prüfvermerk mit Datum und Fundstelle; ungeprüfte Angaben werden als solche gekennzeichnet und vor Versand ersetzt.</w:t>
      </w:r>
    </w:p>
    <w:p>
      <w:pPr>
        <w:pStyle w:val="Heading3"/>
      </w:pPr>
      <w:r>
        <w:t>Livecheck</w:t>
      </w:r>
    </w:p>
    <w:p>
      <w:pPr>
        <w:jc w:val="left"/>
      </w:pPr>
      <w:r>
        <w:t>Die Übergangsfristen-Tabelle der Akte wird bei jeder Verwendung gegen die amtlichen Quellen aktualisiert; verantwortlich ist die sachbearbeitende Anwältin.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Welches Regime gilt zum jeweiligen Auslieferungsdatum der Flotte?</w:t>
      </w:r>
    </w:p>
    <w:p>
      <w:pPr>
        <w:pStyle w:val="ListBullet"/>
      </w:pPr>
      <w:r>
        <w:t>Sind alle zitierten Normfassungen mit Prüfvermerk versehen?</w:t>
      </w:r>
    </w:p>
    <w:p>
      <w:pPr>
        <w:pStyle w:val="ListBullet"/>
      </w:pPr>
      <w:r>
        <w:t>Wer aktualisiert die Übergangsfristen-Tabelle?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