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Zeugenliste und Belegverzeichnis</w:t>
      </w:r>
    </w:p>
    <w:p>
      <w:pPr>
        <w:pStyle w:val="Heading2"/>
      </w:pPr>
      <w:r>
        <w:t>1 Mögliche Zeugen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Name</w:t>
            </w:r>
          </w:p>
        </w:tc>
        <w:tc>
          <w:tcPr>
            <w:tcW w:type="dxa" w:w="2880"/>
          </w:tcPr>
          <w:p>
            <w:r/>
            <w:r>
              <w:rPr>
                <w:rFonts w:ascii="Times New Roman" w:hAnsi="Times New Roman"/>
                <w:b/>
                <w:sz w:val="20"/>
              </w:rPr>
              <w:t>Rolle</w:t>
            </w:r>
          </w:p>
        </w:tc>
        <w:tc>
          <w:tcPr>
            <w:tcW w:type="dxa" w:w="2880"/>
          </w:tcPr>
          <w:p>
            <w:r/>
            <w:r>
              <w:rPr>
                <w:rFonts w:ascii="Times New Roman" w:hAnsi="Times New Roman"/>
                <w:b/>
                <w:sz w:val="20"/>
              </w:rPr>
              <w:t>Beweisthema</w:t>
            </w:r>
          </w:p>
        </w:tc>
      </w:tr>
      <w:tr>
        <w:tc>
          <w:tcPr>
            <w:tcW w:type="dxa" w:w="2880"/>
          </w:tcPr>
          <w:p>
            <w:r/>
            <w:r>
              <w:rPr>
                <w:rFonts w:ascii="Times New Roman" w:hAnsi="Times New Roman"/>
                <w:sz w:val="20"/>
              </w:rPr>
              <w:t>Prof. Dr. Cornelius Baumhauer</w:t>
            </w:r>
          </w:p>
        </w:tc>
        <w:tc>
          <w:tcPr>
            <w:tcW w:type="dxa" w:w="2880"/>
          </w:tcPr>
          <w:p>
            <w:r/>
            <w:r>
              <w:rPr>
                <w:rFonts w:ascii="Times New Roman" w:hAnsi="Times New Roman"/>
                <w:sz w:val="20"/>
              </w:rPr>
              <w:t>Beiratsvorsitzender</w:t>
            </w:r>
          </w:p>
        </w:tc>
        <w:tc>
          <w:tcPr>
            <w:tcW w:type="dxa" w:w="2880"/>
          </w:tcPr>
          <w:p>
            <w:r/>
            <w:r>
              <w:rPr>
                <w:rFonts w:ascii="Times New Roman" w:hAnsi="Times New Roman"/>
                <w:sz w:val="20"/>
              </w:rPr>
              <w:t>Handhabung der Zustimmungsvorbehalte und der Sperrminorität seit 2025</w:t>
            </w:r>
          </w:p>
        </w:tc>
      </w:tr>
      <w:tr>
        <w:tc>
          <w:tcPr>
            <w:tcW w:type="dxa" w:w="2880"/>
          </w:tcPr>
          <w:p>
            <w:r/>
            <w:r>
              <w:rPr>
                <w:rFonts w:ascii="Times New Roman" w:hAnsi="Times New Roman"/>
                <w:sz w:val="20"/>
              </w:rPr>
              <w:t>Dr. Miriam Seidl</w:t>
            </w:r>
          </w:p>
        </w:tc>
        <w:tc>
          <w:tcPr>
            <w:tcW w:type="dxa" w:w="2880"/>
          </w:tcPr>
          <w:p>
            <w:r/>
            <w:r>
              <w:rPr>
                <w:rFonts w:ascii="Times New Roman" w:hAnsi="Times New Roman"/>
                <w:sz w:val="20"/>
              </w:rPr>
              <w:t>Mitgesellschafterin, 17 Prozent</w:t>
            </w:r>
          </w:p>
        </w:tc>
        <w:tc>
          <w:tcPr>
            <w:tcW w:type="dxa" w:w="2880"/>
          </w:tcPr>
          <w:p>
            <w:r/>
            <w:r>
              <w:rPr>
                <w:rFonts w:ascii="Times New Roman" w:hAnsi="Times New Roman"/>
                <w:sz w:val="20"/>
              </w:rPr>
              <w:t>Abstimmungsverhalten, Wahrnehmung der faktischen Machtverhältnisse</w:t>
            </w:r>
          </w:p>
        </w:tc>
      </w:tr>
      <w:tr>
        <w:tc>
          <w:tcPr>
            <w:tcW w:type="dxa" w:w="2880"/>
          </w:tcPr>
          <w:p>
            <w:r/>
            <w:r>
              <w:rPr>
                <w:rFonts w:ascii="Times New Roman" w:hAnsi="Times New Roman"/>
                <w:sz w:val="20"/>
              </w:rPr>
              <w:t>Caroline Benkert</w:t>
            </w:r>
          </w:p>
        </w:tc>
        <w:tc>
          <w:tcPr>
            <w:tcW w:type="dxa" w:w="2880"/>
          </w:tcPr>
          <w:p>
            <w:r/>
            <w:r>
              <w:rPr>
                <w:rFonts w:ascii="Times New Roman" w:hAnsi="Times New Roman"/>
                <w:sz w:val="20"/>
              </w:rPr>
              <w:t>CFO Neuralis MedTech GmbH</w:t>
            </w:r>
          </w:p>
        </w:tc>
        <w:tc>
          <w:tcPr>
            <w:tcW w:type="dxa" w:w="2880"/>
          </w:tcPr>
          <w:p>
            <w:r/>
            <w:r>
              <w:rPr>
                <w:rFonts w:ascii="Times New Roman" w:hAnsi="Times New Roman"/>
                <w:sz w:val="20"/>
              </w:rPr>
              <w:t>Umgang mit Weisungen, Zahlungsflüsse, Bürgschaft</w:t>
            </w:r>
          </w:p>
        </w:tc>
      </w:tr>
      <w:tr>
        <w:tc>
          <w:tcPr>
            <w:tcW w:type="dxa" w:w="2880"/>
          </w:tcPr>
          <w:p>
            <w:r/>
            <w:r>
              <w:rPr>
                <w:rFonts w:ascii="Times New Roman" w:hAnsi="Times New Roman"/>
                <w:sz w:val="20"/>
              </w:rPr>
              <w:t>Torben Aldenhoven</w:t>
            </w:r>
          </w:p>
        </w:tc>
        <w:tc>
          <w:tcPr>
            <w:tcW w:type="dxa" w:w="2880"/>
          </w:tcPr>
          <w:p>
            <w:r/>
            <w:r>
              <w:rPr>
                <w:rFonts w:ascii="Times New Roman" w:hAnsi="Times New Roman"/>
                <w:sz w:val="20"/>
              </w:rPr>
              <w:t>Partner FrankenHealth Ventures GmbH</w:t>
            </w:r>
          </w:p>
        </w:tc>
        <w:tc>
          <w:tcPr>
            <w:tcW w:type="dxa" w:w="2880"/>
          </w:tcPr>
          <w:p>
            <w:r/>
            <w:r>
              <w:rPr>
                <w:rFonts w:ascii="Times New Roman" w:hAnsi="Times New Roman"/>
                <w:sz w:val="20"/>
              </w:rPr>
              <w:t>Motive für die Satzungsänderung 2025, Beteiligung an Abberufungsantrag</w:t>
            </w:r>
          </w:p>
        </w:tc>
      </w:tr>
    </w:tbl>
    <w:p/>
    <w:p>
      <w:pPr>
        <w:pStyle w:val="Heading2"/>
      </w:pPr>
      <w:r>
        <w:t>2 Belegverzeichnis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Lfd. Nr.</w:t>
            </w:r>
          </w:p>
        </w:tc>
        <w:tc>
          <w:tcPr>
            <w:tcW w:type="dxa" w:w="2880"/>
          </w:tcPr>
          <w:p>
            <w:r/>
            <w:r>
              <w:rPr>
                <w:rFonts w:ascii="Times New Roman" w:hAnsi="Times New Roman"/>
                <w:b/>
                <w:sz w:val="20"/>
              </w:rPr>
              <w:t>Beleg</w:t>
            </w:r>
          </w:p>
        </w:tc>
        <w:tc>
          <w:tcPr>
            <w:tcW w:type="dxa" w:w="2880"/>
          </w:tcPr>
          <w:p>
            <w:r/>
            <w:r>
              <w:rPr>
                <w:rFonts w:ascii="Times New Roman" w:hAnsi="Times New Roman"/>
                <w:b/>
                <w:sz w:val="20"/>
              </w:rPr>
              <w:t>Fundstelle</w:t>
            </w:r>
          </w:p>
        </w:tc>
      </w:tr>
      <w:tr>
        <w:tc>
          <w:tcPr>
            <w:tcW w:type="dxa" w:w="2880"/>
          </w:tcPr>
          <w:p>
            <w:r/>
            <w:r>
              <w:rPr>
                <w:rFonts w:ascii="Times New Roman" w:hAnsi="Times New Roman"/>
                <w:sz w:val="20"/>
              </w:rPr>
              <w:t>1</w:t>
            </w:r>
          </w:p>
        </w:tc>
        <w:tc>
          <w:tcPr>
            <w:tcW w:type="dxa" w:w="2880"/>
          </w:tcPr>
          <w:p>
            <w:r/>
            <w:r>
              <w:rPr>
                <w:rFonts w:ascii="Times New Roman" w:hAnsi="Times New Roman"/>
                <w:sz w:val="20"/>
              </w:rPr>
              <w:t>Gesellschaftsvertrag Neufassung 2023 und Nachtrag 2025</w:t>
            </w:r>
          </w:p>
        </w:tc>
        <w:tc>
          <w:tcPr>
            <w:tcW w:type="dxa" w:w="2880"/>
          </w:tcPr>
          <w:p>
            <w:r/>
            <w:r>
              <w:rPr>
                <w:rFonts w:ascii="Times New Roman" w:hAnsi="Times New Roman"/>
                <w:sz w:val="20"/>
              </w:rPr>
              <w:t>Aktenstücke 02, 12, 13</w:t>
            </w:r>
          </w:p>
        </w:tc>
      </w:tr>
      <w:tr>
        <w:tc>
          <w:tcPr>
            <w:tcW w:type="dxa" w:w="2880"/>
          </w:tcPr>
          <w:p>
            <w:r/>
            <w:r>
              <w:rPr>
                <w:rFonts w:ascii="Times New Roman" w:hAnsi="Times New Roman"/>
                <w:sz w:val="20"/>
              </w:rPr>
              <w:t>2</w:t>
            </w:r>
          </w:p>
        </w:tc>
        <w:tc>
          <w:tcPr>
            <w:tcW w:type="dxa" w:w="2880"/>
          </w:tcPr>
          <w:p>
            <w:r/>
            <w:r>
              <w:rPr>
                <w:rFonts w:ascii="Times New Roman" w:hAnsi="Times New Roman"/>
                <w:sz w:val="20"/>
              </w:rPr>
              <w:t>Geschäftsführervertrag und Nachtrag</w:t>
            </w:r>
          </w:p>
        </w:tc>
        <w:tc>
          <w:tcPr>
            <w:tcW w:type="dxa" w:w="2880"/>
          </w:tcPr>
          <w:p>
            <w:r/>
            <w:r>
              <w:rPr>
                <w:rFonts w:ascii="Times New Roman" w:hAnsi="Times New Roman"/>
                <w:sz w:val="20"/>
              </w:rPr>
              <w:t>Aktenstücke 03, 27</w:t>
            </w:r>
          </w:p>
        </w:tc>
      </w:tr>
      <w:tr>
        <w:tc>
          <w:tcPr>
            <w:tcW w:type="dxa" w:w="2880"/>
          </w:tcPr>
          <w:p>
            <w:r/>
            <w:r>
              <w:rPr>
                <w:rFonts w:ascii="Times New Roman" w:hAnsi="Times New Roman"/>
                <w:sz w:val="20"/>
              </w:rPr>
              <w:t>3</w:t>
            </w:r>
          </w:p>
        </w:tc>
        <w:tc>
          <w:tcPr>
            <w:tcW w:type="dxa" w:w="2880"/>
          </w:tcPr>
          <w:p>
            <w:r/>
            <w:r>
              <w:rPr>
                <w:rFonts w:ascii="Times New Roman" w:hAnsi="Times New Roman"/>
                <w:sz w:val="20"/>
              </w:rPr>
              <w:t>Beiratsprotokolle 2025 und 2026</w:t>
            </w:r>
          </w:p>
        </w:tc>
        <w:tc>
          <w:tcPr>
            <w:tcW w:type="dxa" w:w="2880"/>
          </w:tcPr>
          <w:p>
            <w:r/>
            <w:r>
              <w:rPr>
                <w:rFonts w:ascii="Times New Roman" w:hAnsi="Times New Roman"/>
                <w:sz w:val="20"/>
              </w:rPr>
              <w:t>Aktenstück 04</w:t>
            </w:r>
          </w:p>
        </w:tc>
      </w:tr>
      <w:tr>
        <w:tc>
          <w:tcPr>
            <w:tcW w:type="dxa" w:w="2880"/>
          </w:tcPr>
          <w:p>
            <w:r/>
            <w:r>
              <w:rPr>
                <w:rFonts w:ascii="Times New Roman" w:hAnsi="Times New Roman"/>
                <w:sz w:val="20"/>
              </w:rPr>
              <w:t>4</w:t>
            </w:r>
          </w:p>
        </w:tc>
        <w:tc>
          <w:tcPr>
            <w:tcW w:type="dxa" w:w="2880"/>
          </w:tcPr>
          <w:p>
            <w:r/>
            <w:r>
              <w:rPr>
                <w:rFonts w:ascii="Times New Roman" w:hAnsi="Times New Roman"/>
                <w:sz w:val="20"/>
              </w:rPr>
              <w:t>Gesellschafterprotokolle 2024 und 2025</w:t>
            </w:r>
          </w:p>
        </w:tc>
        <w:tc>
          <w:tcPr>
            <w:tcW w:type="dxa" w:w="2880"/>
          </w:tcPr>
          <w:p>
            <w:r/>
            <w:r>
              <w:rPr>
                <w:rFonts w:ascii="Times New Roman" w:hAnsi="Times New Roman"/>
                <w:sz w:val="20"/>
              </w:rPr>
              <w:t>Aktenstücke 28, 29</w:t>
            </w:r>
          </w:p>
        </w:tc>
      </w:tr>
      <w:tr>
        <w:tc>
          <w:tcPr>
            <w:tcW w:type="dxa" w:w="2880"/>
          </w:tcPr>
          <w:p>
            <w:r/>
            <w:r>
              <w:rPr>
                <w:rFonts w:ascii="Times New Roman" w:hAnsi="Times New Roman"/>
                <w:sz w:val="20"/>
              </w:rPr>
              <w:t>5</w:t>
            </w:r>
          </w:p>
        </w:tc>
        <w:tc>
          <w:tcPr>
            <w:tcW w:type="dxa" w:w="2880"/>
          </w:tcPr>
          <w:p>
            <w:r/>
            <w:r>
              <w:rPr>
                <w:rFonts w:ascii="Times New Roman" w:hAnsi="Times New Roman"/>
                <w:sz w:val="20"/>
              </w:rPr>
              <w:t>Bürgschaftsbezug</w:t>
            </w:r>
          </w:p>
        </w:tc>
        <w:tc>
          <w:tcPr>
            <w:tcW w:type="dxa" w:w="2880"/>
          </w:tcPr>
          <w:p>
            <w:r/>
            <w:r>
              <w:rPr>
                <w:rFonts w:ascii="Times New Roman" w:hAnsi="Times New Roman"/>
                <w:sz w:val="20"/>
              </w:rPr>
              <w:t>Aktenstück 01, Ziffer 3.2</w:t>
            </w:r>
          </w:p>
        </w:tc>
      </w:tr>
      <w:tr>
        <w:tc>
          <w:tcPr>
            <w:tcW w:type="dxa" w:w="2880"/>
          </w:tcPr>
          <w:p>
            <w:r/>
            <w:r>
              <w:rPr>
                <w:rFonts w:ascii="Times New Roman" w:hAnsi="Times New Roman"/>
                <w:sz w:val="20"/>
              </w:rPr>
              <w:t>6</w:t>
            </w:r>
          </w:p>
        </w:tc>
        <w:tc>
          <w:tcPr>
            <w:tcW w:type="dxa" w:w="2880"/>
          </w:tcPr>
          <w:p>
            <w:r/>
            <w:r>
              <w:rPr>
                <w:rFonts w:ascii="Times New Roman" w:hAnsi="Times New Roman"/>
                <w:sz w:val="20"/>
              </w:rPr>
              <w:t>Beitragsberechnung</w:t>
            </w:r>
          </w:p>
        </w:tc>
        <w:tc>
          <w:tcPr>
            <w:tcW w:type="dxa" w:w="2880"/>
          </w:tcPr>
          <w:p>
            <w:r/>
            <w:r>
              <w:rPr>
                <w:rFonts w:ascii="Times New Roman" w:hAnsi="Times New Roman"/>
                <w:sz w:val="20"/>
              </w:rPr>
              <w:t>Aktenstück 31</w:t>
            </w:r>
          </w:p>
        </w:tc>
      </w:tr>
    </w:tbl>
    <w:p/>
    <w:p>
      <w:pPr>
        <w:pStyle w:val="Heading2"/>
      </w:pPr>
      <w:r>
        <w:t>3 Offene Lücken</w:t>
      </w:r>
    </w:p>
    <w:p>
      <w:r>
        <w:t>Die Bürgschaftsurkunde selbst liegt der Kanzlei nicht im Original vor, nur die Erwähnung im Erstgespräch. Eine Anforderung bei der Hausbank ist offen. Die genaue Zahl der tatsächlich genommenen Urlaubstage seit 2023 ist nicht dokumentiert und muss über die Reisekostenabrechnung rekonstruiert werden.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