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Landgericht Magdeburg, Schwurgerichtskammer 1 | Staatsanwaltschaft Magdeburg, 1 Js 5582/26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Magdeburg, 1 Js 5582/26 führt die Sache derzeit mit Schwerpunkt auf: schwere Brandstiftung nach Paragraf 306a StGB; Versicherungsbetrug nach Paragraf 263 StGB; Vortäuschen eines Versicherungsfalls.</w:t>
      </w:r>
    </w:p>
    <w:p>
      <w:pPr>
        <w:spacing w:after="120" w:line="259" w:lineRule="auto"/>
      </w:pPr>
      <w:r>
        <w:t>Belastend wirken vor allem das Vorabgutachten zur Brandursache vom 19.05.2026 und das Ereignisprotokoll der Brandnacht; für das endgültige Brandursachengutachten vom 12.06.2026 fehlen jedoch die Asservatenfotos in Originalauflösung und der Sicherungsvermerk zur Spurenkette der Brandproben.</w:t>
      </w:r>
    </w:p>
    <w:p>
      <w:pPr>
        <w:spacing w:after="120" w:line="259" w:lineRule="auto"/>
      </w:pPr>
      <w:r>
        <w:t>Gerichtsfest wird die Beweisführung erst, wenn je Spur die Blattstelle, die Entnahmestelle in der Lagerhalle und die Beweisrichtung (Brandbeschleuniger ja/nein) dokumentiert sind; die Abweichungen zwischen Vorab- und Endgutachten sind gesondert aufzulisten.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Brandsachverständiger</w:t>
            </w:r>
          </w:p>
        </w:tc>
        <w:tc>
          <w:tcPr>
            <w:tcW w:type="dxa" w:w="2493"/>
            <w:vAlign w:val="top"/>
          </w:tcPr>
          <w:p>
            <w:r>
              <w:t>Gutachten Vorabfassung</w:t>
            </w:r>
          </w:p>
        </w:tc>
        <w:tc>
          <w:tcPr>
            <w:tcW w:type="dxa" w:w="2493"/>
            <w:vAlign w:val="top"/>
          </w:tcPr>
          <w:p>
            <w:r>
              <w:t>Brandbeschleuniger-Spur</w:t>
            </w:r>
          </w:p>
        </w:tc>
        <w:tc>
          <w:tcPr>
            <w:tcW w:type="dxa" w:w="2493"/>
            <w:vAlign w:val="top"/>
          </w:tcPr>
          <w:p>
            <w:r>
              <w:t>elektrischer Defekt noch offen</w:t>
            </w:r>
          </w:p>
        </w:tc>
      </w:tr>
      <w:tr>
        <w:tc>
          <w:tcPr>
            <w:tcW w:type="dxa" w:w="2493"/>
            <w:vAlign w:val="top"/>
          </w:tcPr>
          <w:p>
            <w:r>
              <w:t>Versicherungspolice</w:t>
            </w:r>
          </w:p>
        </w:tc>
        <w:tc>
          <w:tcPr>
            <w:tcW w:type="dxa" w:w="2493"/>
            <w:vAlign w:val="top"/>
          </w:tcPr>
          <w:p>
            <w:r>
              <w:t>HanseMerkur Industrie</w:t>
            </w:r>
          </w:p>
        </w:tc>
        <w:tc>
          <w:tcPr>
            <w:tcW w:type="dxa" w:w="2493"/>
            <w:vAlign w:val="top"/>
          </w:tcPr>
          <w:p>
            <w:r>
              <w:t>Deckungserhöhung April</w:t>
            </w:r>
          </w:p>
        </w:tc>
        <w:tc>
          <w:tcPr>
            <w:tcW w:type="dxa" w:w="2493"/>
            <w:vAlign w:val="top"/>
          </w:tcPr>
          <w:p>
            <w:r>
              <w:t>auch andere Standorte erhöht</w:t>
            </w:r>
          </w:p>
        </w:tc>
      </w:tr>
      <w:tr>
        <w:tc>
          <w:tcPr>
            <w:tcW w:type="dxa" w:w="2493"/>
            <w:vAlign w:val="top"/>
          </w:tcPr>
          <w:p>
            <w:r>
              <w:t>Alarmprotokoll</w:t>
            </w:r>
          </w:p>
        </w:tc>
        <w:tc>
          <w:tcPr>
            <w:tcW w:type="dxa" w:w="2493"/>
            <w:vAlign w:val="top"/>
          </w:tcPr>
          <w:p>
            <w:r>
              <w:t>Securitas Wachdienst</w:t>
            </w:r>
          </w:p>
        </w:tc>
        <w:tc>
          <w:tcPr>
            <w:tcW w:type="dxa" w:w="2493"/>
            <w:vAlign w:val="top"/>
          </w:tcPr>
          <w:p>
            <w:r>
              <w:t>Rauchmeldung 02:14 Uhr</w:t>
            </w:r>
          </w:p>
        </w:tc>
        <w:tc>
          <w:tcPr>
            <w:tcW w:type="dxa" w:w="2493"/>
            <w:vAlign w:val="top"/>
          </w:tcPr>
          <w:p>
            <w:r>
              <w:t>Videoausfall ungeklärt</w:t>
            </w:r>
          </w:p>
        </w:tc>
      </w:tr>
      <w:tr>
        <w:tc>
          <w:tcPr>
            <w:tcW w:type="dxa" w:w="2493"/>
            <w:vAlign w:val="top"/>
          </w:tcPr>
          <w:p>
            <w:r>
              <w:t>Liquiditätsplan</w:t>
            </w:r>
          </w:p>
        </w:tc>
        <w:tc>
          <w:tcPr>
            <w:tcW w:type="dxa" w:w="2493"/>
            <w:vAlign w:val="top"/>
          </w:tcPr>
          <w:p>
            <w:r>
              <w:t>ElbeLager GmbH</w:t>
            </w:r>
          </w:p>
        </w:tc>
        <w:tc>
          <w:tcPr>
            <w:tcW w:type="dxa" w:w="2493"/>
            <w:vAlign w:val="top"/>
          </w:tcPr>
          <w:p>
            <w:r>
              <w:t>akute Zahlungslücke</w:t>
            </w:r>
          </w:p>
        </w:tc>
        <w:tc>
          <w:tcPr>
            <w:tcW w:type="dxa" w:w="2493"/>
            <w:vAlign w:val="top"/>
          </w:tcPr>
          <w:p>
            <w:r>
              <w:t>Sanierungsgespräch lief</w:t>
            </w:r>
          </w:p>
        </w:tc>
      </w:tr>
      <w:tr>
        <w:tc>
          <w:tcPr>
            <w:tcW w:type="dxa" w:w="2493"/>
            <w:vAlign w:val="top"/>
          </w:tcPr>
          <w:p>
            <w:r>
              <w:t>Funkzellendaten</w:t>
            </w:r>
          </w:p>
        </w:tc>
        <w:tc>
          <w:tcPr>
            <w:tcW w:type="dxa" w:w="2493"/>
            <w:vAlign w:val="top"/>
          </w:tcPr>
          <w:p>
            <w:r>
              <w:t>Handy Brandner</w:t>
            </w:r>
          </w:p>
        </w:tc>
        <w:tc>
          <w:tcPr>
            <w:tcW w:type="dxa" w:w="2493"/>
            <w:vAlign w:val="top"/>
          </w:tcPr>
          <w:p>
            <w:r>
              <w:t>nächtliche Nähe zum Gelände</w:t>
            </w:r>
          </w:p>
        </w:tc>
        <w:tc>
          <w:tcPr>
            <w:tcW w:type="dxa" w:w="2493"/>
            <w:vAlign w:val="top"/>
          </w:tcPr>
          <w:p>
            <w:r>
              <w:t>Wohnung liegt im selben Funkzellenbereich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306 StGB</w:t>
      </w:r>
    </w:p>
    <w:p>
      <w:pPr>
        <w:pStyle w:val="ListBullet"/>
      </w:pPr>
      <w:r>
        <w:t>Paragraf 306a StGB</w:t>
      </w:r>
    </w:p>
    <w:p>
      <w:pPr>
        <w:pStyle w:val="ListBullet"/>
      </w:pPr>
      <w:r>
        <w:t>Paragraf 263 StGB</w:t>
      </w:r>
    </w:p>
    <w:p>
      <w:pPr>
        <w:pStyle w:val="ListBullet"/>
      </w:pPr>
      <w:r>
        <w:t>Paragraf 112 StPO</w:t>
      </w:r>
    </w:p>
    <w:p>
      <w:pPr>
        <w:pStyle w:val="ListBullet"/>
      </w:pPr>
      <w:r>
        <w:t>Paragraf 244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Magdeburg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Magdeburg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Schwurgerichtskammer 1 | Staatsanwaltschaft Magdeburg, 1 Js 5582/26 · 1 Js 5582/26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