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Entwurf nächster Verfahrensschritt</w:t>
      </w:r>
    </w:p>
    <w:p>
      <w:r>
        <w:rPr>
          <w:i/>
          <w:sz w:val="20"/>
        </w:rPr>
        <w:t>Landgericht Magdeburg, Schwurgerichtskammer 1 | Staatsanwaltschaft Magdeburg, 1 Js 5582/26</w:t>
      </w:r>
    </w:p>
    <w:p>
      <w:pPr>
        <w:pStyle w:val="Heading2"/>
      </w:pPr>
      <w:r>
        <w:t>Entwurfsziel</w:t>
      </w:r>
    </w:p>
    <w:p>
      <w:pPr>
        <w:spacing w:after="120" w:line="259" w:lineRule="auto"/>
      </w:pPr>
      <w:r>
        <w:t>Haftbeschwerde mit Alternativursache vorbereiten, Rohdaten Videoanlage sichern, Versicherungsunterlagen vollständig anfordern und Gutachterfragen zu Tor 3 formulieren.</w:t>
      </w:r>
    </w:p>
    <w:p>
      <w:pPr>
        <w:pStyle w:val="Heading2"/>
      </w:pPr>
      <w:r>
        <w:t>Textbaustein</w:t>
      </w:r>
    </w:p>
    <w:p>
      <w:pPr>
        <w:spacing w:after="120" w:line="259" w:lineRule="auto"/>
      </w:pPr>
      <w:r>
        <w:t>In der Sache Staatsanwaltschaft Magdeburg, 1 Js 5582/26 beantragen wir zunächst, die nachfolgend bezeichneten Unterlagen vollständig und in Originalqualität zur Akte zu nehmen beziehungsweise der Verteidigung zugänglich zu machen.</w:t>
      </w:r>
    </w:p>
    <w:p>
      <w:pPr>
        <w:spacing w:after="120" w:line="259" w:lineRule="auto"/>
      </w:pPr>
      <w:r>
        <w:t>Eine abschließende Stellungnahme scheidet aus, solange das Endgutachten nur im Auszug vorliegt, die Rohdaten der Brandsimulation fehlen und die Lichtbilder der Brandstelle nicht in Originalqualität übergeben sind.</w:t>
      </w:r>
    </w:p>
    <w:p>
      <w:pPr>
        <w:spacing w:after="120" w:line="259" w:lineRule="auto"/>
      </w:pPr>
      <w:r>
        <w:t>Nach Eingang von Gutachten-Anlagen, Simulationsrohdaten und Lichtbildern wird die Stellungnahme entlang der Brandursachenhypothesen geordnet und der Sachverständigenantrag konkret gefasst.</w:t>
      </w:r>
    </w:p>
    <w:p>
      <w:pPr>
        <w:pStyle w:val="Heading2"/>
      </w:pPr>
      <w:r>
        <w:t>Konkrete Anträge und Bitten</w:t>
      </w:r>
    </w:p>
    <w:p>
      <w:pPr>
        <w:pStyle w:val="ListBullet"/>
      </w:pPr>
      <w:r>
        <w:t>Übersendung aller digitalen Originaldateien mit Metadaten und Sicherungsvermerken.</w:t>
      </w:r>
    </w:p>
    <w:p>
      <w:pPr>
        <w:pStyle w:val="ListBullet"/>
      </w:pPr>
      <w:r>
        <w:t>Mitteilung sämtlicher Zustelldaten, Ladungsdaten und noch offener Fristen.</w:t>
      </w:r>
    </w:p>
    <w:p>
      <w:pPr>
        <w:pStyle w:val="ListBullet"/>
      </w:pPr>
      <w:r>
        <w:t>Benennung ausstehender Gutachten und geplanter Vernehmungen.</w:t>
      </w:r>
    </w:p>
    <w:p>
      <w:pPr>
        <w:pStyle w:val="ListBullet"/>
      </w:pPr>
      <w:r>
        <w:t>Gelegenheit zur ergänzenden Stellungnahme nach vollständiger Akteneinsicht.</w:t>
      </w:r>
    </w:p>
    <w:p>
      <w:pPr>
        <w:pStyle w:val="Heading2"/>
      </w:pPr>
      <w:r>
        <w:t>Taktischer Hinweis</w:t>
      </w:r>
    </w:p>
    <w:p>
      <w:pPr>
        <w:spacing w:after="120" w:line="259" w:lineRule="auto"/>
      </w:pPr>
      <w:r>
        <w:t>Der Entwurf bleibt bewusst kurz: Er sichert Akteneinsicht und Fristen, ohne die Einlassung zur Anwesenheit in der Brandnacht zu vertiefen, die erst nach den Rohdaten belastbar bewertet werden kann.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Landgericht Magdeburg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Landgericht Magdeburg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Schwurgerichtskammer 1 | Staatsanwaltschaft Magdeburg, 1 Js 5582/26 · 1 Js 5582/26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