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Landgericht Köln, große Strafkammer 19 | Staatsanwaltschaft Köln, 19 Js 774/26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Köln, 19 Js 774/26 führt die Sache derzeit mit Schwerpunkt auf: unerlaubtes Handeltreiben oder Besitz in nicht geringer Menge nach Betäubungsmittelrecht; Kurierwissen und Mittäterschaft als Kernfragen; Einziehung von Fahrzeug- und Kommunikationsmitteln.</w:t>
      </w:r>
    </w:p>
    <w:p>
      <w:pPr>
        <w:spacing w:after="120" w:line="259" w:lineRule="auto"/>
      </w:pPr>
      <w:r>
        <w:t>Belastend sind das Wirkstoffgutachten des LKA NRW und die Telematik- und Funkzellendaten der Fahrt vom 08./09.06.2026; beim Belehrungs- und Dolmetschervermerk vom 09.06.2026 bleibt offen, ob die Belehrung vor der ersten inhaltlichen Befragung vollständig übersetzt wurde.</w:t>
      </w:r>
    </w:p>
    <w:p>
      <w:pPr>
        <w:spacing w:after="120" w:line="259" w:lineRule="auto"/>
      </w:pPr>
      <w:r>
        <w:t>Nachzutragen sind Blattstellen und Herkunft der Telematikdaten sowie die lückenlose Kette vom Sicherstellungsprotokoll bis zur LKA-Probe; die Verwertbarkeit der ersten Angaben des Mandanten hängt am Dolmetschervermerk und ist als eigener Prüfpunkt zu führen.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Sicherstellungsvermerk</w:t>
            </w:r>
          </w:p>
        </w:tc>
        <w:tc>
          <w:tcPr>
            <w:tcW w:type="dxa" w:w="2493"/>
            <w:vAlign w:val="top"/>
          </w:tcPr>
          <w:p>
            <w:r>
              <w:t>PRev Autobahn Köln</w:t>
            </w:r>
          </w:p>
        </w:tc>
        <w:tc>
          <w:tcPr>
            <w:tcW w:type="dxa" w:w="2493"/>
            <w:vAlign w:val="top"/>
          </w:tcPr>
          <w:p>
            <w:r>
              <w:t>Fundort Reserveradmulde</w:t>
            </w:r>
          </w:p>
        </w:tc>
        <w:tc>
          <w:tcPr>
            <w:tcW w:type="dxa" w:w="2493"/>
            <w:vAlign w:val="top"/>
          </w:tcPr>
          <w:p>
            <w:r>
              <w:t>keine Fotos vor Öffnung durch Fahrer</w:t>
            </w:r>
          </w:p>
        </w:tc>
      </w:tr>
      <w:tr>
        <w:tc>
          <w:tcPr>
            <w:tcW w:type="dxa" w:w="2493"/>
            <w:vAlign w:val="top"/>
          </w:tcPr>
          <w:p>
            <w:r>
              <w:t>Wirkstoffvortest</w:t>
            </w:r>
          </w:p>
        </w:tc>
        <w:tc>
          <w:tcPr>
            <w:tcW w:type="dxa" w:w="2493"/>
            <w:vAlign w:val="top"/>
          </w:tcPr>
          <w:p>
            <w:r>
              <w:t>Nal-von-Minden Teststreifen</w:t>
            </w:r>
          </w:p>
        </w:tc>
        <w:tc>
          <w:tcPr>
            <w:tcW w:type="dxa" w:w="2493"/>
            <w:vAlign w:val="top"/>
          </w:tcPr>
          <w:p>
            <w:r>
              <w:t>positiv Kokain</w:t>
            </w:r>
          </w:p>
        </w:tc>
        <w:tc>
          <w:tcPr>
            <w:tcW w:type="dxa" w:w="2493"/>
            <w:vAlign w:val="top"/>
          </w:tcPr>
          <w:p>
            <w:r>
              <w:t>nur vorläufig</w:t>
            </w:r>
          </w:p>
        </w:tc>
      </w:tr>
      <w:tr>
        <w:tc>
          <w:tcPr>
            <w:tcW w:type="dxa" w:w="2493"/>
            <w:vAlign w:val="top"/>
          </w:tcPr>
          <w:p>
            <w:r>
              <w:t>Handychat Marlin</w:t>
            </w:r>
          </w:p>
        </w:tc>
        <w:tc>
          <w:tcPr>
            <w:tcW w:type="dxa" w:w="2493"/>
            <w:vAlign w:val="top"/>
          </w:tcPr>
          <w:p>
            <w:r>
              <w:t>Telegram-Auszug</w:t>
            </w:r>
          </w:p>
        </w:tc>
        <w:tc>
          <w:tcPr>
            <w:tcW w:type="dxa" w:w="2493"/>
            <w:vAlign w:val="top"/>
          </w:tcPr>
          <w:p>
            <w:r>
              <w:t>Übergabeort Köln-Deutz</w:t>
            </w:r>
          </w:p>
        </w:tc>
        <w:tc>
          <w:tcPr>
            <w:tcW w:type="dxa" w:w="2493"/>
            <w:vAlign w:val="top"/>
          </w:tcPr>
          <w:p>
            <w:r>
              <w:t>Identität Marlin ungeklärt</w:t>
            </w:r>
          </w:p>
        </w:tc>
      </w:tr>
      <w:tr>
        <w:tc>
          <w:tcPr>
            <w:tcW w:type="dxa" w:w="2493"/>
            <w:vAlign w:val="top"/>
          </w:tcPr>
          <w:p>
            <w:r>
              <w:t>DNA-Spuren</w:t>
            </w:r>
          </w:p>
        </w:tc>
        <w:tc>
          <w:tcPr>
            <w:tcW w:type="dxa" w:w="2493"/>
            <w:vAlign w:val="top"/>
          </w:tcPr>
          <w:p>
            <w:r>
              <w:t>LKA Vorbericht</w:t>
            </w:r>
          </w:p>
        </w:tc>
        <w:tc>
          <w:tcPr>
            <w:tcW w:type="dxa" w:w="2493"/>
            <w:vAlign w:val="top"/>
          </w:tcPr>
          <w:p>
            <w:r>
              <w:t>Mischspur auf Paketband</w:t>
            </w:r>
          </w:p>
        </w:tc>
        <w:tc>
          <w:tcPr>
            <w:tcW w:type="dxa" w:w="2493"/>
            <w:vAlign w:val="top"/>
          </w:tcPr>
          <w:p>
            <w:r>
              <w:t>keine Einzelspur</w:t>
            </w:r>
          </w:p>
        </w:tc>
      </w:tr>
      <w:tr>
        <w:tc>
          <w:tcPr>
            <w:tcW w:type="dxa" w:w="2493"/>
            <w:vAlign w:val="top"/>
          </w:tcPr>
          <w:p>
            <w:r>
              <w:t>Mietvertrag</w:t>
            </w:r>
          </w:p>
        </w:tc>
        <w:tc>
          <w:tcPr>
            <w:tcW w:type="dxa" w:w="2493"/>
            <w:vAlign w:val="top"/>
          </w:tcPr>
          <w:p>
            <w:r>
              <w:t>Rotterdam Mobility BV</w:t>
            </w:r>
          </w:p>
        </w:tc>
        <w:tc>
          <w:tcPr>
            <w:tcW w:type="dxa" w:w="2493"/>
            <w:vAlign w:val="top"/>
          </w:tcPr>
          <w:p>
            <w:r>
              <w:t>Fahrzeugübernahme durch Montes</w:t>
            </w:r>
          </w:p>
        </w:tc>
        <w:tc>
          <w:tcPr>
            <w:tcW w:type="dxa" w:w="2493"/>
            <w:vAlign w:val="top"/>
          </w:tcPr>
          <w:p>
            <w:r>
              <w:t>Zusatzfahrer unlesbar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29a BtMG</w:t>
      </w:r>
    </w:p>
    <w:p>
      <w:pPr>
        <w:pStyle w:val="ListBullet"/>
      </w:pPr>
      <w:r>
        <w:t>Paragraf 30 BtMG</w:t>
      </w:r>
    </w:p>
    <w:p>
      <w:pPr>
        <w:pStyle w:val="ListBullet"/>
      </w:pPr>
      <w:r>
        <w:t>Paragraf 102 StPO</w:t>
      </w:r>
    </w:p>
    <w:p>
      <w:pPr>
        <w:pStyle w:val="ListBullet"/>
      </w:pPr>
      <w:r>
        <w:t>Paragraf 112 StPO</w:t>
      </w:r>
    </w:p>
    <w:p>
      <w:pPr>
        <w:pStyle w:val="ListBullet"/>
      </w:pPr>
      <w:r>
        <w:t>Paragraf 136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Köln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Köln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große Strafkammer 19 | Staatsanwaltschaft Köln, 19 Js 774/26 · 19 Js 774/26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