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Entwurf nächster Verfahrensschritt</w:t>
      </w:r>
    </w:p>
    <w:p>
      <w:r>
        <w:rPr>
          <w:i/>
          <w:sz w:val="20"/>
        </w:rPr>
        <w:t>Landgericht Köln, große Strafkammer 19 | Staatsanwaltschaft Köln, 19 Js 774/26</w:t>
      </w:r>
    </w:p>
    <w:p>
      <w:pPr>
        <w:pStyle w:val="Heading2"/>
      </w:pPr>
      <w:r>
        <w:t>Entwurfsziel</w:t>
      </w:r>
    </w:p>
    <w:p>
      <w:pPr>
        <w:spacing w:after="120" w:line="259" w:lineRule="auto"/>
      </w:pPr>
      <w:r>
        <w:t>Haftprüfung vorbereiten, Dolmetscher- und Belehrungsvermerk anfordern, Rohdaten der Handyforensik sichern und Zusatzfahrer über Vermieter identifizieren.</w:t>
      </w:r>
    </w:p>
    <w:p>
      <w:pPr>
        <w:pStyle w:val="Heading2"/>
      </w:pPr>
      <w:r>
        <w:t>Textbaustein</w:t>
      </w:r>
    </w:p>
    <w:p>
      <w:pPr>
        <w:spacing w:after="120" w:line="259" w:lineRule="auto"/>
      </w:pPr>
      <w:r>
        <w:t>In der Sache Staatsanwaltschaft Köln, 19 Js 774/26 beantragen wir zunächst, die nachfolgend bezeichneten Unterlagen vollständig und in Originalqualität zur Akte zu nehmen beziehungsweise der Verteidigung zugänglich zu machen.</w:t>
      </w:r>
    </w:p>
    <w:p>
      <w:pPr>
        <w:spacing w:after="120" w:line="259" w:lineRule="auto"/>
      </w:pPr>
      <w:r>
        <w:t>Die Aktenlage trägt noch keine abschließende Stellungnahme: Das Wirkstoffgutachten liegt nur im Auszug vor, die Rohdaten der Telematik fehlen und der Dolmetschervermerk ist ohne die Angabe der übersetzten Passagen übergeben.</w:t>
      </w:r>
    </w:p>
    <w:p>
      <w:pPr>
        <w:spacing w:after="120" w:line="259" w:lineRule="auto"/>
      </w:pPr>
      <w:r>
        <w:t>Mit den Nachlieferungen wird die Stellungnahme zweigeteilt: zuerst Verwertbarkeit (Belehrung, Dolmetscher), dann Beweiswert der Fahrt- und Wirkstoffdaten für Menge und Vorsatz.</w:t>
      </w:r>
    </w:p>
    <w:p>
      <w:pPr>
        <w:pStyle w:val="Heading2"/>
      </w:pPr>
      <w:r>
        <w:t>Konkrete Anträge und Bitten</w:t>
      </w:r>
    </w:p>
    <w:p>
      <w:pPr>
        <w:pStyle w:val="ListBullet"/>
      </w:pPr>
      <w:r>
        <w:t>Übersendung aller digitalen Originaldateien mit Metadaten und Sicherungsvermerken.</w:t>
      </w:r>
    </w:p>
    <w:p>
      <w:pPr>
        <w:pStyle w:val="ListBullet"/>
      </w:pPr>
      <w:r>
        <w:t>Mitteilung sämtlicher Zustelldaten, Ladungsdaten und noch offener Fristen.</w:t>
      </w:r>
    </w:p>
    <w:p>
      <w:pPr>
        <w:pStyle w:val="ListBullet"/>
      </w:pPr>
      <w:r>
        <w:t>Benennung ausstehender Gutachten und geplanter Vernehmungen.</w:t>
      </w:r>
    </w:p>
    <w:p>
      <w:pPr>
        <w:pStyle w:val="ListBullet"/>
      </w:pPr>
      <w:r>
        <w:t>Gelegenheit zur ergänzenden Stellungnahme nach vollständiger Akteneinsicht.</w:t>
      </w:r>
    </w:p>
    <w:p>
      <w:pPr>
        <w:pStyle w:val="Heading2"/>
      </w:pPr>
      <w:r>
        <w:t>Taktischer Hinweis</w:t>
      </w:r>
    </w:p>
    <w:p>
      <w:pPr>
        <w:spacing w:after="120" w:line="259" w:lineRule="auto"/>
      </w:pPr>
      <w:r>
        <w:t>Der Entwurf bleibt kurz, damit keine Sachversion zur Kenntnis vom Ladungsinhalt festgeschrieben wird, bevor Verwertbarkeit und Rohdaten geklärt sind.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Landgericht Köln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Landgericht Köln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große Strafkammer 19 | Staatsanwaltschaft Köln, 19 Js 774/26 · 19 Js 774/26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