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Leipzig, 212 Js 6180/26 führt die Sache derzeit mit Schwerpunkt auf: Computerbetrug nach Paragraf 263a StGB; Geldwäscheprüfung nach Paragraf 261 StGB; Beihilfe durch Kontobereitstellung.</w:t>
      </w:r>
    </w:p>
    <w:p>
      <w:pPr>
        <w:spacing w:after="120" w:line="259" w:lineRule="auto"/>
      </w:pPr>
      <w:r>
        <w:t>Belastend sind der IT-Auswertebericht vom 30.06.2026, das Transaktions- und Loginlog vom 18./19.04.2026 und die ATM-Bildauswertung vom 11.06.2026; für die Logs fehlen Hashwerte und Exportvermerk, für die Bildauswertung die Einzelbilder mit Zeitstempel.</w:t>
      </w:r>
    </w:p>
    <w:p>
      <w:pPr>
        <w:spacing w:after="120" w:line="259" w:lineRule="auto"/>
      </w:pPr>
      <w:r>
        <w:t>Gerichtsfest wird die Kette erst, wenn Loginzeiten, Geräte-IDs und Abhebungszeitpunkte je Blattstelle verknüpft sind; die Identifizierung am Automaten ist als eigener Beweisstrang mit Beweisrichtung zu führen.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Banklog</w:t>
            </w:r>
          </w:p>
        </w:tc>
        <w:tc>
          <w:tcPr>
            <w:tcW w:type="dxa" w:w="2493"/>
            <w:vAlign w:val="top"/>
          </w:tcPr>
          <w:p>
            <w:r>
              <w:t>Saxonia Bank Fraud Desk</w:t>
            </w:r>
          </w:p>
        </w:tc>
        <w:tc>
          <w:tcPr>
            <w:tcW w:type="dxa" w:w="2493"/>
            <w:vAlign w:val="top"/>
          </w:tcPr>
          <w:p>
            <w:r>
              <w:t>TAN-Freigaben und Zielkonto</w:t>
            </w:r>
          </w:p>
        </w:tc>
        <w:tc>
          <w:tcPr>
            <w:tcW w:type="dxa" w:w="2493"/>
            <w:vAlign w:val="top"/>
          </w:tcPr>
          <w:p>
            <w:r>
              <w:t>keine Täteridentität</w:t>
            </w:r>
          </w:p>
        </w:tc>
      </w:tr>
      <w:tr>
        <w:tc>
          <w:tcPr>
            <w:tcW w:type="dxa" w:w="2493"/>
            <w:vAlign w:val="top"/>
          </w:tcPr>
          <w:p>
            <w:r>
              <w:t>ATM-Fotos</w:t>
            </w:r>
          </w:p>
        </w:tc>
        <w:tc>
          <w:tcPr>
            <w:tcW w:type="dxa" w:w="2493"/>
            <w:vAlign w:val="top"/>
          </w:tcPr>
          <w:p>
            <w:r>
              <w:t>Sparkasse Leipzig</w:t>
            </w:r>
          </w:p>
        </w:tc>
        <w:tc>
          <w:tcPr>
            <w:tcW w:type="dxa" w:w="2493"/>
            <w:vAlign w:val="top"/>
          </w:tcPr>
          <w:p>
            <w:r>
              <w:t>Person mit Kapuze</w:t>
            </w:r>
          </w:p>
        </w:tc>
        <w:tc>
          <w:tcPr>
            <w:tcW w:type="dxa" w:w="2493"/>
            <w:vAlign w:val="top"/>
          </w:tcPr>
          <w:p>
            <w:r>
              <w:t>Gesicht teilweise verdeckt</w:t>
            </w:r>
          </w:p>
        </w:tc>
      </w:tr>
      <w:tr>
        <w:tc>
          <w:tcPr>
            <w:tcW w:type="dxa" w:w="2493"/>
            <w:vAlign w:val="top"/>
          </w:tcPr>
          <w:p>
            <w:r>
              <w:t>Chat Riko</w:t>
            </w:r>
          </w:p>
        </w:tc>
        <w:tc>
          <w:tcPr>
            <w:tcW w:type="dxa" w:w="2493"/>
            <w:vAlign w:val="top"/>
          </w:tcPr>
          <w:p>
            <w:r>
              <w:t>Signal-Export Peukert</w:t>
            </w:r>
          </w:p>
        </w:tc>
        <w:tc>
          <w:tcPr>
            <w:tcW w:type="dxa" w:w="2493"/>
            <w:vAlign w:val="top"/>
          </w:tcPr>
          <w:p>
            <w:r>
              <w:t>Provision und Kontodaten</w:t>
            </w:r>
          </w:p>
        </w:tc>
        <w:tc>
          <w:tcPr>
            <w:tcW w:type="dxa" w:w="2493"/>
            <w:vAlign w:val="top"/>
          </w:tcPr>
          <w:p>
            <w:r>
              <w:t>keine Phishing-Anleitung</w:t>
            </w:r>
          </w:p>
        </w:tc>
      </w:tr>
      <w:tr>
        <w:tc>
          <w:tcPr>
            <w:tcW w:type="dxa" w:w="2493"/>
            <w:vAlign w:val="top"/>
          </w:tcPr>
          <w:p>
            <w:r>
              <w:t>Providerauskunft</w:t>
            </w:r>
          </w:p>
        </w:tc>
        <w:tc>
          <w:tcPr>
            <w:tcW w:type="dxa" w:w="2493"/>
            <w:vAlign w:val="top"/>
          </w:tcPr>
          <w:p>
            <w:r>
              <w:t>Hoster Tallinn</w:t>
            </w:r>
          </w:p>
        </w:tc>
        <w:tc>
          <w:tcPr>
            <w:tcW w:type="dxa" w:w="2493"/>
            <w:vAlign w:val="top"/>
          </w:tcPr>
          <w:p>
            <w:r>
              <w:t>Phishingdomain aktiv</w:t>
            </w:r>
          </w:p>
        </w:tc>
        <w:tc>
          <w:tcPr>
            <w:tcW w:type="dxa" w:w="2493"/>
            <w:vAlign w:val="top"/>
          </w:tcPr>
          <w:p>
            <w:r>
              <w:t>Logzeitzone unklar</w:t>
            </w:r>
          </w:p>
        </w:tc>
      </w:tr>
      <w:tr>
        <w:tc>
          <w:tcPr>
            <w:tcW w:type="dxa" w:w="2493"/>
            <w:vAlign w:val="top"/>
          </w:tcPr>
          <w:p>
            <w:r>
              <w:t>Kontobewegungen</w:t>
            </w:r>
          </w:p>
        </w:tc>
        <w:tc>
          <w:tcPr>
            <w:tcW w:type="dxa" w:w="2493"/>
            <w:vAlign w:val="top"/>
          </w:tcPr>
          <w:p>
            <w:r>
              <w:t>Konto Peukert</w:t>
            </w:r>
          </w:p>
        </w:tc>
        <w:tc>
          <w:tcPr>
            <w:tcW w:type="dxa" w:w="2493"/>
            <w:vAlign w:val="top"/>
          </w:tcPr>
          <w:p>
            <w:r>
              <w:t>Zufluss und Abhebung</w:t>
            </w:r>
          </w:p>
        </w:tc>
        <w:tc>
          <w:tcPr>
            <w:tcW w:type="dxa" w:w="2493"/>
            <w:vAlign w:val="top"/>
          </w:tcPr>
          <w:p>
            <w:r>
              <w:t>Weiterleitungsempfänger unbekannt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263a StGB</w:t>
      </w:r>
    </w:p>
    <w:p>
      <w:pPr>
        <w:pStyle w:val="ListBullet"/>
      </w:pPr>
      <w:r>
        <w:t>Paragraf 261 StGB</w:t>
      </w:r>
    </w:p>
    <w:p>
      <w:pPr>
        <w:pStyle w:val="ListBullet"/>
      </w:pPr>
      <w:r>
        <w:t>Paragraf 73 StGB</w:t>
      </w:r>
    </w:p>
    <w:p>
      <w:pPr>
        <w:pStyle w:val="ListBullet"/>
      </w:pPr>
      <w:r>
        <w:t>Paragraf 100g StPO</w:t>
      </w:r>
    </w:p>
    <w:p>
      <w:pPr>
        <w:pStyle w:val="ListBullet"/>
      </w:pPr>
      <w:r>
        <w:t>Paragraf 110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212 | Staatsanwaltschaft Leipzig, 212 Js 6180/26 · 212 Js 6180/26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