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Leipzig, Schöffengericht Abteilung 212 | Staatsanwaltschaft Leipzig, 212 Js 6180/26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Rohdaten der Banklogs mit Zeitzonen sichern, ATM-Bildqualität prüfen, Einziehungsrisiko berechnen und Stellungnahme zur Kontoleihe vorbereiten.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Leipzig, 212 Js 6180/26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Eine abschließende Stellungnahme ist nicht möglich, solange die Logs ohne Prüfsummen und die ATM-Bilder nur als Auswertevermerk vorliegen und der Bank-Sicherheitsbericht die internen Erkennungsregeln nicht offenlegt.</w:t>
      </w:r>
    </w:p>
    <w:p>
      <w:pPr>
        <w:spacing w:after="120" w:line="259" w:lineRule="auto"/>
      </w:pPr>
      <w:r>
        <w:t>Nach Eingang der Rohlogs, Einzelbilder und des vollständigen Bankberichts wird transaktionsweise Stellung genommen: Zurechnung, Vermögensverfügung, Schadenshöhe und etwaige Mitverursachung der Bank.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bleibt kurz und legt sich nicht auf eine Erklärung der Logins fest, die nach der Geräteauswertung angepasst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Schöffengericht Abteilung 212 | Staatsanwaltschaft Leipzig, 212 Js 6180/26 · 212 Js 6180/26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