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4"/>
        </w:rPr>
        <w:t>Entwurf nächster Verfahrensschritt</w:t>
      </w:r>
    </w:p>
    <w:p>
      <w:r>
        <w:rPr>
          <w:i/>
          <w:sz w:val="20"/>
        </w:rPr>
        <w:t>Amtsgericht Dresden, Strafrichter Abteilung 238 | Staatsanwaltschaft Dresden, 238 Js 9064/26</w:t>
      </w:r>
    </w:p>
    <w:p>
      <w:pPr>
        <w:pStyle w:val="Heading2"/>
      </w:pPr>
      <w:r>
        <w:t>Entwurfsziel</w:t>
      </w:r>
    </w:p>
    <w:p>
      <w:pPr>
        <w:spacing w:after="120" w:line="259" w:lineRule="auto"/>
      </w:pPr>
      <w:r>
        <w:t>Nebenklagefähige Aktenauswertung, Schutzantragsentwurf und Beweisanregung zur Sicherung der Originalfotos sowie der Funkstreifenwagen-Bodycam-Metadaten.</w:t>
      </w:r>
    </w:p>
    <w:p>
      <w:pPr>
        <w:pStyle w:val="Heading2"/>
      </w:pPr>
      <w:r>
        <w:t>Textbaustein</w:t>
      </w:r>
    </w:p>
    <w:p>
      <w:pPr>
        <w:spacing w:after="120" w:line="259" w:lineRule="auto"/>
      </w:pPr>
      <w:r>
        <w:t>In der Sache Staatsanwaltschaft Dresden, 238 Js 9064/26 beantragen wir zunächst, die nachfolgend bezeichneten Unterlagen vollständig und in Originalqualität zur Akte zu nehmen beziehungsweise der Verteidigung zugänglich zu machen.</w:t>
      </w:r>
    </w:p>
    <w:p>
      <w:pPr>
        <w:spacing w:after="120" w:line="259" w:lineRule="auto"/>
      </w:pPr>
      <w:r>
        <w:t>Die Aktenlage trägt keine abschließende Stellungnahme, weil die Lichtbildmappe ohne Metadaten vorliegt, ärztliche Atteste fehlen und die Chronologie teilweise nur auf Meldedaten ohne Belege beruht.</w:t>
      </w:r>
    </w:p>
    <w:p>
      <w:pPr>
        <w:spacing w:after="120" w:line="259" w:lineRule="auto"/>
      </w:pPr>
      <w:r>
        <w:t>Mit den Nachlieferungen wird vorfallsweise Stellung genommen und geklärt, welche Vorwürfe bei Zeugnisverweigerung überhaupt beweisbar bleiben.</w:t>
      </w:r>
    </w:p>
    <w:p>
      <w:pPr>
        <w:pStyle w:val="Heading2"/>
      </w:pPr>
      <w:r>
        <w:t>Konkrete Anträge und Bitten</w:t>
      </w:r>
    </w:p>
    <w:p>
      <w:pPr>
        <w:pStyle w:val="ListBullet"/>
      </w:pPr>
      <w:r>
        <w:t>Übersendung aller digitalen Originaldateien mit Metadaten und Sicherungsvermerken.</w:t>
      </w:r>
    </w:p>
    <w:p>
      <w:pPr>
        <w:pStyle w:val="ListBullet"/>
      </w:pPr>
      <w:r>
        <w:t>Mitteilung sämtlicher Zustelldaten, Ladungsdaten und noch offener Fristen.</w:t>
      </w:r>
    </w:p>
    <w:p>
      <w:pPr>
        <w:pStyle w:val="ListBullet"/>
      </w:pPr>
      <w:r>
        <w:t>Benennung ausstehender Gutachten und geplanter Vernehmungen.</w:t>
      </w:r>
    </w:p>
    <w:p>
      <w:pPr>
        <w:pStyle w:val="ListBullet"/>
      </w:pPr>
      <w:r>
        <w:t>Gelegenheit zur ergänzenden Stellungnahme nach vollständiger Akteneinsicht.</w:t>
      </w:r>
    </w:p>
    <w:p>
      <w:pPr>
        <w:pStyle w:val="Heading2"/>
      </w:pPr>
      <w:r>
        <w:t>Taktischer Hinweis</w:t>
      </w:r>
    </w:p>
    <w:p>
      <w:pPr>
        <w:spacing w:after="120" w:line="259" w:lineRule="auto"/>
      </w:pPr>
      <w:r>
        <w:t>Der Entwurf bleibt kurz, um keine Sachversion zu einzelnen Vorfällen festzuschreiben, solange Atteste und Metadaten fehlen.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Amtsgericht Dresden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Amtsgericht Dresden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Strafrichter Abteilung 238 | Staatsanwaltschaft Dresden, 238 Js 9064/26 · 238 Js 9064/26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