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Rechtliche Arbeitsnotiz</w:t>
      </w:r>
    </w:p>
    <w:p>
      <w:r>
        <w:rPr>
          <w:i/>
          <w:sz w:val="20"/>
        </w:rPr>
        <w:t>Landgericht München I, Wirtschaftsstrafkammer 6 | Staatsanwaltschaft München I, 6 Js 9940/26</w:t>
      </w:r>
    </w:p>
    <w:p>
      <w:pPr>
        <w:pStyle w:val="Heading2"/>
      </w:pPr>
      <w:r>
        <w:t>Rechtlicher Einstieg</w:t>
      </w:r>
    </w:p>
    <w:p>
      <w:pPr>
        <w:spacing w:after="120" w:line="259" w:lineRule="auto"/>
      </w:pPr>
      <w:r>
        <w:t>Die Prüfung beginnt bei der Verteidigung des Vergabestellenleiters Eberl und dem Arbeitsprodukt: Stellungnahme zur Abgrenzung von Vorteilsannahme und Bestechlichkeit sowie Vorbereitung auf dienstrechtliche Parallelfolgen.</w:t>
      </w:r>
    </w:p>
    <w:p>
      <w:pPr>
        <w:spacing w:after="120" w:line="259" w:lineRule="auto"/>
      </w:pPr>
      <w:r>
        <w:t>Zu trennen sind Vorteil, Diensthandlung und Unrechtsvereinbarung je Bewirtung; die Einlassung Eberls vom 18.06.2026, es habe sich um übliche Arbeitsessen gehandelt, ist gegen Vergabekalender und Angebotsfristen zu stellen.</w:t>
      </w:r>
    </w:p>
    <w:p>
      <w:pPr>
        <w:pStyle w:val="ListBullet"/>
      </w:pPr>
      <w:r>
        <w:t>Normanker: Paragraf 331 StGB, Paragraf 332 StGB, Paragraf 266 StGB, Paragraf 102 StPO, Paragraf 110 StPO.</w:t>
      </w:r>
    </w:p>
    <w:p>
      <w:pPr>
        <w:pStyle w:val="Heading2"/>
      </w:pPr>
      <w:r>
        <w:t>Arbeitsmatrix</w:t>
      </w:r>
    </w:p>
    <w:p>
      <w:pPr>
        <w:pStyle w:val="ListBullet"/>
      </w:pPr>
      <w:r>
        <w:t>Tatbestandsmerkmal: Welche konkrete Tatsache trägt es?</w:t>
      </w:r>
    </w:p>
    <w:p>
      <w:pPr>
        <w:pStyle w:val="ListBullet"/>
      </w:pPr>
      <w:r>
        <w:t>Beweismittel: Ist es original, vollständig, verwertbar und in sich konstant?</w:t>
      </w:r>
    </w:p>
    <w:p>
      <w:pPr>
        <w:pStyle w:val="ListBullet"/>
      </w:pPr>
      <w:r>
        <w:t>Gegenposition: Welches alternative Geschehen ist aktenkundig und nicht nur spekulativ?</w:t>
      </w:r>
    </w:p>
    <w:p>
      <w:pPr>
        <w:pStyle w:val="ListBullet"/>
      </w:pPr>
      <w:r>
        <w:t>Risiko: Welche Nebenfolge droht unabhängig vom Ausgang der Hauptsache?</w:t>
      </w:r>
    </w:p>
    <w:p>
      <w:pPr>
        <w:pStyle w:val="ListBullet"/>
      </w:pPr>
      <w:r>
        <w:t>Output: konkreter Antrag oder konkreter Entwurf, keine bloße Rechtsmeinung.</w:t>
      </w:r>
    </w:p>
    <w:p>
      <w:pPr>
        <w:pStyle w:val="Heading2"/>
      </w:pPr>
      <w:r>
        <w:t>Nächster Schritt</w:t>
      </w:r>
    </w:p>
    <w:p>
      <w:pPr>
        <w:spacing w:after="120" w:line="259" w:lineRule="auto"/>
      </w:pPr>
      <w:r>
        <w:t>Vergabematrix technisch nachrechnen, Vorteilsliste bewerten, dienstliche Zuständigkeit sauber abgrenzen und Stellungnahme ohne vorschnelle Freundschaftsrhetorik vorbereiten.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Landgericht München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Landgericht München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Wirtschaftsstrafkammer 6 | Staatsanwaltschaft München I, 6 Js 9940/26 · 6 Js 9940/26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