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Landgericht München I, Wirtschaftsstrafkammer 6 | Staatsanwaltschaft München I, 6 Js 9940/26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Vergabematrix technisch nachrechnen, Vorteilsliste bewerten, dienstliche Zuständigkeit sauber abgrenzen und Stellungnahme ohne vorschnelle Freundschaftsrhetorik vorbereiten.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München I, 6 Js 9940/26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Die Aktenlage trägt keine abschließende Stellungnahme, weil die Bewertungsversionen ohne Historie vorliegen, die Bewirtungsbelege unvollständig sind und die Vernehmungen der Bieterseite ausstehen.</w:t>
      </w:r>
    </w:p>
    <w:p>
      <w:pPr>
        <w:spacing w:after="120" w:line="259" w:lineRule="auto"/>
      </w:pPr>
      <w:r>
        <w:t>Mit den Nachlieferungen wird je Vergabeverfahren Stellung genommen: Zeitachse Angebot–Bewirtung–Bewertung, dienstliche Veranlassung und die Grenze zur Unrechtsvereinbarung.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bleibt kurz und vermeidet jede Festlegung zum Zweck der Essen, bevor die Bewertungshistorie vorliegt.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München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München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Wirtschaftsstrafkammer 6 | Staatsanwaltschaft München I, 6 Js 9940/26 · 6 Js 9940/26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