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Bundesgerichtshof über Landgericht Duisburg, 7 KLs 220 Js 1180/25 | Staatsanwaltschaft Duisburg, 220 Js 1180/25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Duisburg, 220 Js 1180/25 führt die Sache derzeit mit Schwerpunkt auf: Verurteilung wegen schweren Raubes; Revision mit Verfahrens- und Sachrüge; Beweisantragsablehnung nach Paragraf 244 StPO.</w:t>
      </w:r>
    </w:p>
    <w:p>
      <w:pPr>
        <w:spacing w:after="120" w:line="259" w:lineRule="auto"/>
      </w:pPr>
      <w:r>
        <w:t>Kern der Beschwer ist die Behandlung des Beweisantrags in der Hauptverhandlung vor dem Landgericht Duisburg; das Protokoll liegt nur in der Chronologie-Übersicht vor, der wörtliche Ablehnungsbeschluss und die Antragsfassung vom 12.02.2026 sind lediglich als Mitschrift dokumentiert.</w:t>
      </w:r>
    </w:p>
    <w:p>
      <w:pPr>
        <w:spacing w:after="120" w:line="259" w:lineRule="auto"/>
      </w:pPr>
      <w:r>
        <w:t>Für die Revision müssen Antragswortlaut, Ablehnungsbegründung und Verfahrensrüge deckungsgleich aus dem Protokoll belegt werden; jede Abweichung zwischen Protokoll und Mitschrift ist mit Blattstelle festzuhalten.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Beweisantrag</w:t>
            </w:r>
          </w:p>
        </w:tc>
        <w:tc>
          <w:tcPr>
            <w:tcW w:type="dxa" w:w="2493"/>
            <w:vAlign w:val="top"/>
          </w:tcPr>
          <w:p>
            <w:r>
              <w:t>Schriftsatz Verteidigung</w:t>
            </w:r>
          </w:p>
        </w:tc>
        <w:tc>
          <w:tcPr>
            <w:tcW w:type="dxa" w:w="2493"/>
            <w:vAlign w:val="top"/>
          </w:tcPr>
          <w:p>
            <w:r>
              <w:t>konkretes Alibi</w:t>
            </w:r>
          </w:p>
        </w:tc>
        <w:tc>
          <w:tcPr>
            <w:tcW w:type="dxa" w:w="2493"/>
            <w:vAlign w:val="top"/>
          </w:tcPr>
          <w:p>
            <w:r>
              <w:t>Protokollwortlaut verkürzt</w:t>
            </w:r>
          </w:p>
        </w:tc>
      </w:tr>
      <w:tr>
        <w:tc>
          <w:tcPr>
            <w:tcW w:type="dxa" w:w="2493"/>
            <w:vAlign w:val="top"/>
          </w:tcPr>
          <w:p>
            <w:r>
              <w:t>Urteilsgründe</w:t>
            </w:r>
          </w:p>
        </w:tc>
        <w:tc>
          <w:tcPr>
            <w:tcW w:type="dxa" w:w="2493"/>
            <w:vAlign w:val="top"/>
          </w:tcPr>
          <w:p>
            <w:r>
              <w:t>LG Duisburg</w:t>
            </w:r>
          </w:p>
        </w:tc>
        <w:tc>
          <w:tcPr>
            <w:tcW w:type="dxa" w:w="2493"/>
            <w:vAlign w:val="top"/>
          </w:tcPr>
          <w:p>
            <w:r>
              <w:t>knappe Ablehnung</w:t>
            </w:r>
          </w:p>
        </w:tc>
        <w:tc>
          <w:tcPr>
            <w:tcW w:type="dxa" w:w="2493"/>
            <w:vAlign w:val="top"/>
          </w:tcPr>
          <w:p>
            <w:r>
              <w:t>keine Vernehmung Taxifahrer</w:t>
            </w:r>
          </w:p>
        </w:tc>
      </w:tr>
      <w:tr>
        <w:tc>
          <w:tcPr>
            <w:tcW w:type="dxa" w:w="2493"/>
            <w:vAlign w:val="top"/>
          </w:tcPr>
          <w:p>
            <w:r>
              <w:t>Taxi-App-Export</w:t>
            </w:r>
          </w:p>
        </w:tc>
        <w:tc>
          <w:tcPr>
            <w:tcW w:type="dxa" w:w="2493"/>
            <w:vAlign w:val="top"/>
          </w:tcPr>
          <w:p>
            <w:r>
              <w:t>Fahrtenliste Nowak</w:t>
            </w:r>
          </w:p>
        </w:tc>
        <w:tc>
          <w:tcPr>
            <w:tcW w:type="dxa" w:w="2493"/>
            <w:vAlign w:val="top"/>
          </w:tcPr>
          <w:p>
            <w:r>
              <w:t>Fahrt Bahnhof zur Tatzeit</w:t>
            </w:r>
          </w:p>
        </w:tc>
        <w:tc>
          <w:tcPr>
            <w:tcW w:type="dxa" w:w="2493"/>
            <w:vAlign w:val="top"/>
          </w:tcPr>
          <w:p>
            <w:r>
              <w:t>GPS-Genauigkeit begrenzt</w:t>
            </w:r>
          </w:p>
        </w:tc>
      </w:tr>
      <w:tr>
        <w:tc>
          <w:tcPr>
            <w:tcW w:type="dxa" w:w="2493"/>
            <w:vAlign w:val="top"/>
          </w:tcPr>
          <w:p>
            <w:r>
              <w:t>Video Getränkemarkt</w:t>
            </w:r>
          </w:p>
        </w:tc>
        <w:tc>
          <w:tcPr>
            <w:tcW w:type="dxa" w:w="2493"/>
            <w:vAlign w:val="top"/>
          </w:tcPr>
          <w:p>
            <w:r>
              <w:t>Kamera 2</w:t>
            </w:r>
          </w:p>
        </w:tc>
        <w:tc>
          <w:tcPr>
            <w:tcW w:type="dxa" w:w="2493"/>
            <w:vAlign w:val="top"/>
          </w:tcPr>
          <w:p>
            <w:r>
              <w:t>Tätergröße ungefähr passend</w:t>
            </w:r>
          </w:p>
        </w:tc>
        <w:tc>
          <w:tcPr>
            <w:tcW w:type="dxa" w:w="2493"/>
            <w:vAlign w:val="top"/>
          </w:tcPr>
          <w:p>
            <w:r>
              <w:t>Gesicht unscharf</w:t>
            </w:r>
          </w:p>
        </w:tc>
      </w:tr>
      <w:tr>
        <w:tc>
          <w:tcPr>
            <w:tcW w:type="dxa" w:w="2493"/>
            <w:vAlign w:val="top"/>
          </w:tcPr>
          <w:p>
            <w:r>
              <w:t>Mitangeklagter</w:t>
            </w:r>
          </w:p>
        </w:tc>
        <w:tc>
          <w:tcPr>
            <w:tcW w:type="dxa" w:w="2493"/>
            <w:vAlign w:val="top"/>
          </w:tcPr>
          <w:p>
            <w:r>
              <w:t>Belastungszeuge</w:t>
            </w:r>
          </w:p>
        </w:tc>
        <w:tc>
          <w:tcPr>
            <w:tcW w:type="dxa" w:w="2493"/>
            <w:vAlign w:val="top"/>
          </w:tcPr>
          <w:p>
            <w:r>
              <w:t>direkte Belastung</w:t>
            </w:r>
          </w:p>
        </w:tc>
        <w:tc>
          <w:tcPr>
            <w:tcW w:type="dxa" w:w="2493"/>
            <w:vAlign w:val="top"/>
          </w:tcPr>
          <w:p>
            <w:r>
              <w:t>Kronzeugeninteresse möglich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244 StPO</w:t>
      </w:r>
    </w:p>
    <w:p>
      <w:pPr>
        <w:pStyle w:val="ListBullet"/>
      </w:pPr>
      <w:r>
        <w:t>Paragraf 344 StPO</w:t>
      </w:r>
    </w:p>
    <w:p>
      <w:pPr>
        <w:pStyle w:val="ListBullet"/>
      </w:pPr>
      <w:r>
        <w:t>Paragraf 345 StPO</w:t>
      </w:r>
    </w:p>
    <w:p>
      <w:pPr>
        <w:pStyle w:val="ListBullet"/>
      </w:pPr>
      <w:r>
        <w:t>Paragraf 261 StPO</w:t>
      </w:r>
    </w:p>
    <w:p>
      <w:pPr>
        <w:pStyle w:val="ListBullet"/>
      </w:pPr>
      <w:r>
        <w:t>Paragraf 337 StPO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Bundesgerichtshof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Bundesgerichtshof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7 KLs 220 Js 1180/25 | Staatsanwaltschaft Duisburg, 220 Js 1180/25 · 220 Js 1180/25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