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Bundesgerichtshof über Landgericht Duisburg, 7 KLs 220 Js 1180/25 | Staatsanwaltschaft Duisburg, 220 Js 1180/25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bei der Rolle als Revisionsverteidigung und dem Arbeitsprodukt: Verfahrensrüge wegen fehlerhafter Ablehnung des Beweisantrags und Prüfung ergänzender Sachrüge zur Beweiswürdigung.</w:t>
      </w:r>
    </w:p>
    <w:p>
      <w:pPr>
        <w:spacing w:after="120" w:line="259" w:lineRule="auto"/>
      </w:pPr>
      <w:r>
        <w:t>Zu trennen sind Zulässigkeit der Rüge (vollständige Tatsachenmitteilung), Rechtsfehler der Ablehnung und Beruhen; die Revisionsbegründung vom 19.05.2026 ist gegen den Protokollauszug abzugleichen, bevor nachgebessert wird.</w:t>
      </w:r>
    </w:p>
    <w:p>
      <w:pPr>
        <w:pStyle w:val="ListBullet"/>
      </w:pPr>
      <w:r>
        <w:t>Normanker: Paragraf 244 StPO, Paragraf 344 StPO, Paragraf 345 StPO, Paragraf 261 StPO, Paragraf 337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Revisionsbegründung mit vollständiger Verfahrensrüge finalisieren, Protokollberichtigung beobachten und Sachrüge als Auffangnetz knapp, aber tragfähig formulieren.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7 KLs 220 Js 1180/25 | Staatsanwaltschaft Duisburg, 220 Js 1180/25 · 220 Js 1180/25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