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Landgericht Mainz, Jugend- und Schutzkammer 3 | Staatsanwaltschaft Mainz, 3 Js 3081/26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Nebenklageanschluss, Schutzanträge, behutsame Vorbereitung der Vernehmung und Antrag auf Sicherung der Original-Sprachnachrichten samt Metadaten.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Mainz, 3 Js 3081/26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ist nicht möglich, weil die Vernehmung nur zusammengefasst vorliegt, die Nachrichtenexporte fehlen und der Befundbericht ohne die Fotodokumentation übergeben wurde.</w:t>
      </w:r>
    </w:p>
    <w:p>
      <w:pPr>
        <w:spacing w:after="120" w:line="259" w:lineRule="auto"/>
      </w:pPr>
      <w:r>
        <w:t>Mit den Nachlieferungen wird die Stellungnahme nach Aussageentstehung, Befundlage und Kontaktverlauf geordnet; erst danach wird über den Beweisantrag entschieden.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bewusst kurz und ohne jede Würdigung der Zeugin, um die spätere Aussageanalyse nicht zu präjudizieren.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Mainz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Mainz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Jugend- und Schutzkammer 3 | Staatsanwaltschaft Mainz, 3 Js 3081/26 · 3 Js 3081/26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