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Ermittlungsakte Auszüge und Beweislage</w:t>
      </w:r>
    </w:p>
    <w:p>
      <w:r>
        <w:rPr>
          <w:i/>
          <w:sz w:val="20"/>
        </w:rPr>
        <w:t>Amtsgericht Hannover, Strafrichter Abteilung 312 | Staatsanwaltschaft Hannover, 312 Js 5020/26</w:t>
      </w:r>
    </w:p>
    <w:p>
      <w:pPr>
        <w:pStyle w:val="Heading2"/>
      </w:pPr>
      <w:r>
        <w:t>Aktenauszug</w:t>
      </w:r>
    </w:p>
    <w:p>
      <w:pPr>
        <w:spacing w:after="120" w:line="259" w:lineRule="auto"/>
      </w:pPr>
      <w:r>
        <w:t>Staatsanwaltschaft Hannover, 312 Js 5020/26 führt die Sache derzeit mit Schwerpunkt auf: Nachstellung nach Paragraf 238 StGB; Verstoß gegen Kontaktverbot als Folgerisiko; Daten- und Kommunikationsspuren als Beweiskern.</w:t>
      </w:r>
    </w:p>
    <w:p>
      <w:pPr>
        <w:spacing w:after="120" w:line="259" w:lineRule="auto"/>
      </w:pPr>
      <w:r>
        <w:t>Belastend sind die Kontaktchronologie über mehrere Kanäle, die Einlassung des Beschuldigten Mertens vom 15.06.2026 und die Providerauskunft zu Rufnummern und SIM vom 02.07.2026; die Chronologie beruht teils auf Screenshots ohne Exportdaten.</w:t>
      </w:r>
    </w:p>
    <w:p>
      <w:pPr>
        <w:spacing w:after="120" w:line="259" w:lineRule="auto"/>
      </w:pPr>
      <w:r>
        <w:t>Nachzutragen sind Blattstellen je Kontaktereignis und die Zuordnung jeder Rufnummer aus der Providerauskunft zu Gerät und Zeitraum; die Beweisrichtung (Nachstellung, Verstoß gegen das Kontaktverbot) ist je Kanal getrennt zu führen.</w:t>
      </w:r>
    </w:p>
    <w:p>
      <w:pPr>
        <w:pStyle w:val="Heading2"/>
      </w:pPr>
      <w:r>
        <w:t>Beweismittelübersicht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Spalte 1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2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3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4</w:t>
            </w:r>
          </w:p>
        </w:tc>
      </w:tr>
      <w:tr>
        <w:tc>
          <w:tcPr>
            <w:tcW w:type="dxa" w:w="2493"/>
            <w:vAlign w:val="top"/>
          </w:tcPr>
          <w:p>
            <w:r>
              <w:t>GPS-Tracker</w:t>
            </w:r>
          </w:p>
        </w:tc>
        <w:tc>
          <w:tcPr>
            <w:tcW w:type="dxa" w:w="2493"/>
            <w:vAlign w:val="top"/>
          </w:tcPr>
          <w:p>
            <w:r>
              <w:t>Werkstatt Autohaus Leinau</w:t>
            </w:r>
          </w:p>
        </w:tc>
        <w:tc>
          <w:tcPr>
            <w:tcW w:type="dxa" w:w="2493"/>
            <w:vAlign w:val="top"/>
          </w:tcPr>
          <w:p>
            <w:r>
              <w:t>Gerät am Fahrzeug gefunden</w:t>
            </w:r>
          </w:p>
        </w:tc>
        <w:tc>
          <w:tcPr>
            <w:tcW w:type="dxa" w:w="2493"/>
            <w:vAlign w:val="top"/>
          </w:tcPr>
          <w:p>
            <w:r>
              <w:t>Fingerabdrücke unergiebig</w:t>
            </w:r>
          </w:p>
        </w:tc>
      </w:tr>
      <w:tr>
        <w:tc>
          <w:tcPr>
            <w:tcW w:type="dxa" w:w="2493"/>
            <w:vAlign w:val="top"/>
          </w:tcPr>
          <w:p>
            <w:r>
              <w:t>Screenshots Profile</w:t>
            </w:r>
          </w:p>
        </w:tc>
        <w:tc>
          <w:tcPr>
            <w:tcW w:type="dxa" w:w="2493"/>
            <w:vAlign w:val="top"/>
          </w:tcPr>
          <w:p>
            <w:r>
              <w:t>Instagram und Messenger</w:t>
            </w:r>
          </w:p>
        </w:tc>
        <w:tc>
          <w:tcPr>
            <w:tcW w:type="dxa" w:w="2493"/>
            <w:vAlign w:val="top"/>
          </w:tcPr>
          <w:p>
            <w:r>
              <w:t>nicht öffentliches Urlaubsfoto</w:t>
            </w:r>
          </w:p>
        </w:tc>
        <w:tc>
          <w:tcPr>
            <w:tcW w:type="dxa" w:w="2493"/>
            <w:vAlign w:val="top"/>
          </w:tcPr>
          <w:p>
            <w:r>
              <w:t>Accountinhaber noch offen</w:t>
            </w:r>
          </w:p>
        </w:tc>
      </w:tr>
      <w:tr>
        <w:tc>
          <w:tcPr>
            <w:tcW w:type="dxa" w:w="2493"/>
            <w:vAlign w:val="top"/>
          </w:tcPr>
          <w:p>
            <w:r>
              <w:t>SIM-Karten-Daten</w:t>
            </w:r>
          </w:p>
        </w:tc>
        <w:tc>
          <w:tcPr>
            <w:tcW w:type="dxa" w:w="2493"/>
            <w:vAlign w:val="top"/>
          </w:tcPr>
          <w:p>
            <w:r>
              <w:t>Prepaid-Provider</w:t>
            </w:r>
          </w:p>
        </w:tc>
        <w:tc>
          <w:tcPr>
            <w:tcW w:type="dxa" w:w="2493"/>
            <w:vAlign w:val="top"/>
          </w:tcPr>
          <w:p>
            <w:r>
              <w:t>Bewegungsmuster</w:t>
            </w:r>
          </w:p>
        </w:tc>
        <w:tc>
          <w:tcPr>
            <w:tcW w:type="dxa" w:w="2493"/>
            <w:vAlign w:val="top"/>
          </w:tcPr>
          <w:p>
            <w:r>
              <w:t>Käufer nicht identifiziert</w:t>
            </w:r>
          </w:p>
        </w:tc>
      </w:tr>
      <w:tr>
        <w:tc>
          <w:tcPr>
            <w:tcW w:type="dxa" w:w="2493"/>
            <w:vAlign w:val="top"/>
          </w:tcPr>
          <w:p>
            <w:r>
              <w:t>Zeugin Schwester</w:t>
            </w:r>
          </w:p>
        </w:tc>
        <w:tc>
          <w:tcPr>
            <w:tcW w:type="dxa" w:w="2493"/>
            <w:vAlign w:val="top"/>
          </w:tcPr>
          <w:p>
            <w:r>
              <w:t>Maja Wienholt</w:t>
            </w:r>
          </w:p>
        </w:tc>
        <w:tc>
          <w:tcPr>
            <w:tcW w:type="dxa" w:w="2493"/>
            <w:vAlign w:val="top"/>
          </w:tcPr>
          <w:p>
            <w:r>
              <w:t>Angst und Ausweichwohnung</w:t>
            </w:r>
          </w:p>
        </w:tc>
        <w:tc>
          <w:tcPr>
            <w:tcW w:type="dxa" w:w="2493"/>
            <w:vAlign w:val="top"/>
          </w:tcPr>
          <w:p>
            <w:r>
              <w:t>keine unmittelbare Tatwahrnehmung</w:t>
            </w:r>
          </w:p>
        </w:tc>
      </w:tr>
      <w:tr>
        <w:tc>
          <w:tcPr>
            <w:tcW w:type="dxa" w:w="2493"/>
            <w:vAlign w:val="top"/>
          </w:tcPr>
          <w:p>
            <w:r>
              <w:t>Gefährderansprache</w:t>
            </w:r>
          </w:p>
        </w:tc>
        <w:tc>
          <w:tcPr>
            <w:tcW w:type="dxa" w:w="2493"/>
            <w:vAlign w:val="top"/>
          </w:tcPr>
          <w:p>
            <w:r>
              <w:t>Polizei Hannover</w:t>
            </w:r>
          </w:p>
        </w:tc>
        <w:tc>
          <w:tcPr>
            <w:tcW w:type="dxa" w:w="2493"/>
            <w:vAlign w:val="top"/>
          </w:tcPr>
          <w:p>
            <w:r>
              <w:t>Kontaktverbot mündlich erläutert</w:t>
            </w:r>
          </w:p>
        </w:tc>
        <w:tc>
          <w:tcPr>
            <w:tcW w:type="dxa" w:w="2493"/>
            <w:vAlign w:val="top"/>
          </w:tcPr>
          <w:p>
            <w:r>
              <w:t>keine strafbewehrte gerichtliche Anordnung zu diesem Zeitpunkt</w:t>
            </w:r>
          </w:p>
        </w:tc>
      </w:tr>
    </w:tbl>
    <w:p/>
    <w:p>
      <w:pPr>
        <w:pStyle w:val="Heading2"/>
      </w:pPr>
      <w:r>
        <w:t>Normanker</w:t>
      </w:r>
    </w:p>
    <w:p>
      <w:pPr>
        <w:pStyle w:val="ListBullet"/>
      </w:pPr>
      <w:r>
        <w:t>Paragraf 238 StGB</w:t>
      </w:r>
    </w:p>
    <w:p>
      <w:pPr>
        <w:pStyle w:val="ListBullet"/>
      </w:pPr>
      <w:r>
        <w:t>Paragraf 201a StGB</w:t>
      </w:r>
    </w:p>
    <w:p>
      <w:pPr>
        <w:pStyle w:val="ListBullet"/>
      </w:pPr>
      <w:r>
        <w:t>Paragraf 100g StPO</w:t>
      </w:r>
    </w:p>
    <w:p>
      <w:pPr>
        <w:pStyle w:val="ListBullet"/>
      </w:pPr>
      <w:r>
        <w:t>Paragraf 406h StPO</w:t>
      </w:r>
    </w:p>
    <w:p>
      <w:pPr>
        <w:pStyle w:val="ListBullet"/>
      </w:pPr>
      <w:r>
        <w:t>Paragraf 244 StPO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Hannover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Hannover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Strafrichter Abteilung 312 | Staatsanwaltschaft Hannover, 312 Js 5020/26 · 312 Js 5020/26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