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Amtsgericht Hannover, Strafrichter Abteilung 312 | Staatsanwaltschaft Hannover, 312 Js 5020/26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bei der Verteidigung im Verfahren wegen Nachstellung und dem Arbeitsprodukt: Stellungnahme zur Zurechnung der Kontakte und Umgang mit dem digitalen Kontaktverbot.</w:t>
      </w:r>
    </w:p>
    <w:p>
      <w:pPr>
        <w:spacing w:after="120" w:line="259" w:lineRule="auto"/>
      </w:pPr>
      <w:r>
        <w:t>Zu trennen sind die Zurechnung der Kanäle (eigene Nummern, Zweit-SIM, anonyme Accounts), die Beharrlichkeit und die Eignung zur Lebensgestaltungsbeeinträchtigung; die Einlassung, Dritte hätten die Accounts genutzt, steht gegen die SIM-Registrierungsdaten.</w:t>
      </w:r>
    </w:p>
    <w:p>
      <w:pPr>
        <w:pStyle w:val="ListBullet"/>
      </w:pPr>
      <w:r>
        <w:t>Normanker: Paragraf 238 StGB, Paragraf 201a StGB, Paragraf 100g StPO, Paragraf 406h StPO, Paragraf 244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Chronologie gerichtsfest verdichten, Plattformdaten und SIM-Abfragen nachfassen, Schutzantrag finalisieren und Beweisübersicht nach Kontaktkanälen erstellen.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Hannover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Hannover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Strafrichter Abteilung 312 | Staatsanwaltschaft Hannover, 312 Js 5020/26 · 312 Js 5020/26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