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Amtsgericht Hannover, Strafrichter Abteilung 312 | Staatsanwaltschaft Hannover, 312 Js 5020/26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Chronologie gerichtsfest verdichten, Plattformdaten und SIM-Abfragen nachfassen, Schutzantrag finalisieren und Beweisübersicht nach Kontaktkanälen erstellen.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Hannover, 312 Js 5020/26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Die Aktenlage trägt keine abschließende Stellungnahme, weil die Chronologie ohne Originalexporte vorliegt und die Providerauskunft die Bestandsdaten nur für zwei der vier Rufnummern enthält.</w:t>
      </w:r>
    </w:p>
    <w:p>
      <w:pPr>
        <w:spacing w:after="120" w:line="259" w:lineRule="auto"/>
      </w:pPr>
      <w:r>
        <w:t>Nach Eingang der Exporte und der ergänzten Providerauskunft wird kanalweise Stellung genommen und die Zurechnungsfrage vor die Beharrlichkeitsfrage gezogen.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bleibt kurz, damit zur Nutzung der Zweit-SIM keine Version festgeschrieben wird, die die Registrierungsdaten später widerlegen könnten.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Hannover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Hannover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312 | Staatsanwaltschaft Hannover, 312 Js 5020/26 · 312 Js 5020/26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