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Kassel, Schöffengericht Abteilung 42 | Staatsanwaltschaft Kassel, 42 Js 3771/26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Schadensmatrix finalisieren, Arrestanregung prüfen, Belege in echte Ausgaben und ungeklärte Abflüsse trennen und Adhäsionsantrag vorbereiten.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Kassel, 42 Js 3771/26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Stellungnahme ist noch nicht möglich, weil der Kassenprüfungsbericht nur zusammengefasst vorliegt, die Kontoauszüge 2025 ohne die zugehörigen Belege übergeben wurden und die Vorstandsprotokolle zu den streitigen Auszahlungen fehlen.</w:t>
      </w:r>
    </w:p>
    <w:p>
      <w:pPr>
        <w:spacing w:after="120" w:line="259" w:lineRule="auto"/>
      </w:pPr>
      <w:r>
        <w:t>Sobald Prüfberichts-Anlagen, Originalbelege und Vorstandsprotokolle vorliegen, wird die Stellungnahme nach Buchungskreisen geordnet: belegte Vereinsausgaben, erklärbare Abflüsse, ungeklärte Abflüsse mit Nachweisstand und Beweisantritt.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ist bewusst kurz gehalten: Er wahrt die Frist und fordert die Unterlagen an, ohne sich auf eine Erklärung der Abhebungen festzulegen, die nach vollständiger Akteneinsicht korrigiert werden müsste.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Kassel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Kassel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Schöffengericht Abteilung 42 | Staatsanwaltschaft Kassel, 42 Js 3771/26 · 42 Js 3771/26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