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Sanktionsverstoss § 23 SanktDG — Strategie</w:t>
      </w:r>
    </w:p>
    <w:p>
      <w:pPr>
        <w:jc w:val="left"/>
      </w:pPr>
      <w:r>
        <w:t>Bearbeiter: RAin Dr. Johanna Reimers</w:t>
      </w:r>
    </w:p>
    <w:p>
      <w:pPr>
        <w:jc w:val="left"/>
      </w:pPr>
      <w:r>
        <w:t>Datum: 20. April 2026</w:t>
      </w:r>
    </w:p>
    <w:p/>
    <w:p>
      <w:pPr>
        <w:pStyle w:val="Heading2"/>
      </w:pPr>
      <w:r>
        <w:rPr>
          <w:rFonts w:ascii="Times New Roman" w:hAnsi="Times New Roman"/>
        </w:rPr>
        <w:t>Das Sanktionsdurchsetzungsgesetz (SanktDG)</w:t>
      </w:r>
    </w:p>
    <w:p>
      <w:pPr>
        <w:jc w:val="left"/>
      </w:pPr>
      <w:r>
        <w:t>Das Sanktionsdurchsetzungsgesetz vom 28. März 2022 (BGBl. I S. 530) — in Kraft getreten am 28. März 2022, geändert durch Gesetz vom 11. Dezember 2023 (BGBl. I Nr. 354) — ist ein deutsches Ausführungsgesetz zu den EU-Sanktionsverordnungen. Es regelt insbesondere:</w:t>
      </w:r>
    </w:p>
    <w:p>
      <w:pPr>
        <w:pStyle w:val="ListBullet"/>
      </w:pPr>
      <w:r>
        <w:t>Meldepflichten für Vermögenswerte sanktionierter Personen (§§ 1 ff. SanktDG)</w:t>
      </w:r>
    </w:p>
    <w:p>
      <w:pPr>
        <w:pStyle w:val="ListBullet"/>
      </w:pPr>
      <w:r>
        <w:t>Koordination zwischen BaFin und Zoll</w:t>
      </w:r>
    </w:p>
    <w:p>
      <w:pPr>
        <w:pStyle w:val="ListBullet"/>
      </w:pPr>
      <w:r>
        <w:t>Bußgeldtatbestände bei Verletzung der EU-Sanktionsverordnungen (§ 23 SanktDG)</w:t>
      </w:r>
    </w:p>
    <w:p>
      <w:pPr>
        <w:pStyle w:val="ListBullet"/>
      </w:pPr>
      <w:r>
        <w:t>Einziehung und Sicherstellung von Vermögenswerten (§§ 12 ff. SanktDG)</w:t>
      </w:r>
    </w:p>
    <w:p>
      <w:pPr>
        <w:jc w:val="left"/>
      </w:pPr>
      <w:r>
        <w:t>Das SanktDG ergänzt das Außenwirtschaftsgesetz (AWG) und das Außenwirtschaftsrecht (AWV). Es ist auf natürliche und juristische Personen im Inland anwendbar, soweit diese Kenntnis von Vermögenswerten sanktionierter Personen haben oder an Transaktionen mit Bezug zu sanktionierten Personen beteiligt sind.</w:t>
      </w:r>
    </w:p>
    <w:p/>
    <w:p>
      <w:pPr>
        <w:pStyle w:val="Heading2"/>
      </w:pPr>
      <w:r>
        <w:rPr>
          <w:rFonts w:ascii="Times New Roman" w:hAnsi="Times New Roman"/>
        </w:rPr>
        <w:t>§ 23 SanktDG — Bußgeldtatbestand</w:t>
      </w:r>
    </w:p>
    <w:p>
      <w:pPr>
        <w:jc w:val="left"/>
      </w:pPr>
      <w:r>
        <w:t>§ 23 Abs. 1 SanktDG benennt Verstöße gegen Meldepflichten und Verbote aus EU-Sanktionsverordnungen als Ordnungswidrigkeiten. Bußgeldrahmen: bis zu 500.000 EUR pro Verstoß; in schwerwiegenden Fällen bis zu 1 Mio. EUR.</w:t>
      </w:r>
    </w:p>
    <w:p>
      <w:pPr>
        <w:jc w:val="left"/>
      </w:pPr>
      <w:r>
        <w:t>Für den vorliegenden Fall kommen folgende Verstöße in Betracht:</w:t>
      </w:r>
    </w:p>
    <w:p>
      <w:pPr>
        <w:pStyle w:val="Heading3"/>
      </w:pPr>
      <w:r>
        <w:rPr>
          <w:rFonts w:ascii="Times New Roman" w:hAnsi="Times New Roman"/>
        </w:rPr>
        <w:t>Verstoß 1: Keine Meldung von Smolenski-Vermögen (§ 4 Abs. 1 SanktDG)</w:t>
      </w:r>
    </w:p>
    <w:p>
      <w:pPr>
        <w:jc w:val="left"/>
      </w:pPr>
      <w:r>
        <w:t>§ 4 Abs. 1 SanktDG verpflichtet natürliche und juristische Personen, die Kenntnis von Vermögenswerten einer sanktionierten Person haben oder erlangen, dies unverzüglich der BaFin zu melden. Die Kanzlei Sandhof &amp; Partner war an vier Immobilienkäufen beteiligt, bei denen der wirtschaftlich Berechtigte eine sanktionierte Person war. Das Gesamtvolumen betrug 4.540.000 EUR.</w:t>
      </w:r>
    </w:p>
    <w:p>
      <w:pPr>
        <w:jc w:val="left"/>
      </w:pPr>
      <w:r>
        <w:t>Ob die Kanzlei Kenntnis von Smolenski als sanktionierter Person hatte, ist nach eigenem Vortrag Sandhofs zu verneinen. Dieser Umstand ist für die Bußgeldverantwortung relevant: Die Meldepflicht nach § 4 Abs. 1 SanktDG setzt nach dem Wortlaut Kenntnis oder Kennenmüssen voraus.</w:t>
      </w:r>
    </w:p>
    <w:p>
      <w:pPr>
        <w:pStyle w:val="Heading3"/>
      </w:pPr>
      <w:r>
        <w:rPr>
          <w:rFonts w:ascii="Times New Roman" w:hAnsi="Times New Roman"/>
        </w:rPr>
        <w:t>Verstoß 2: Mitwirkung an Transaktionen zugunsten sanktionierter Person (Art. 2 VO Nr. 833/2014)</w:t>
      </w:r>
    </w:p>
    <w:p>
      <w:pPr>
        <w:jc w:val="left"/>
      </w:pPr>
      <w:r>
        <w:t>Das Bereitstellungsverbot der EU-Sanktionsverordnung verbietet es, einer sanktionierten Person Wirtschaftsgüter — wozu nach herrschender Auffassung auch Dienstleistungen, einschließlich Rechtsdienstleistungen, zählen — zur Verfügung zu stellen oder zur Verfügung zu stellen zu lassen.</w:t>
      </w:r>
    </w:p>
    <w:p>
      <w:pPr>
        <w:jc w:val="left"/>
      </w:pPr>
      <w:r>
        <w:t>Ob Rechtsanwaltsdienstleistungen hierunter fallen, ist umstritten. Die EU-Kommission hat in einer Guidance Note (März 2023) klargestellt, dass Rechtsberatung für einen sanktionierten Mandanten grundsätzlich unter das Bereitstellungsverbot fällt, wenn sie der Umgehung von Sanktionen dient.</w:t>
      </w:r>
    </w:p>
    <w:p/>
    <w:p>
      <w:pPr>
        <w:pStyle w:val="Heading2"/>
      </w:pPr>
      <w:r>
        <w:rPr>
          <w:rFonts w:ascii="Times New Roman" w:hAnsi="Times New Roman"/>
        </w:rPr>
        <w:t>Zusammenhang mit § 17 AWG</w:t>
      </w:r>
    </w:p>
    <w:p>
      <w:pPr>
        <w:jc w:val="left"/>
      </w:pPr>
      <w:r>
        <w:t>§ 17 Abs. 1 AWG stellt Verstöße gegen Sanktionsverordnungen unter Strafe (Freiheitsstrafe bis zu fünf Jahren oder Geldstrafe). § 17 AWG und § 23 SanktDG stehen in einem Verhältnis der Spezialität: § 23 SanktDG als Bußgeldtatbestand tritt zurück, wenn der Straftatbestand des § 17 AWG erfüllt ist (§ 21 OWiG).</w:t>
      </w:r>
    </w:p>
    <w:p>
      <w:pPr>
        <w:jc w:val="left"/>
      </w:pPr>
      <w:r>
        <w:t>Die StA Kiel hat nach aktuellem Stand noch nicht entschieden, ob § 17 AWG neben § 261 StGB angeklagt wird. Es ist mit einer Kumulation zu rechnen.</w:t>
      </w:r>
    </w:p>
    <w:p/>
    <w:p>
      <w:pPr>
        <w:pStyle w:val="Heading2"/>
      </w:pPr>
      <w:r>
        <w:rPr>
          <w:rFonts w:ascii="Times New Roman" w:hAnsi="Times New Roman"/>
        </w:rPr>
        <w:t>Verteidigungsstrategie SanktDG</w:t>
      </w:r>
    </w:p>
    <w:p>
      <w:pPr>
        <w:pStyle w:val="Heading3"/>
      </w:pPr>
      <w:r>
        <w:rPr>
          <w:rFonts w:ascii="Times New Roman" w:hAnsi="Times New Roman"/>
        </w:rPr>
        <w:t>Kenntnis als Schlüsselfrage</w:t>
      </w:r>
    </w:p>
    <w:p>
      <w:pPr>
        <w:jc w:val="left"/>
      </w:pPr>
      <w:r>
        <w:t>Sowohl die Bußgeldverantwortung nach § 23 SanktDG als auch die Strafbarkeit nach § 17 AWG hängen am Wissensmerkmal. Die Verteidigung muss konsistent vortragen:</w:t>
      </w:r>
    </w:p>
    <w:p>
      <w:pPr>
        <w:jc w:val="left"/>
      </w:pPr>
      <w:r>
        <w:t>Sandhof hatte keine Kenntnis von der Identität Smolenski. Er hatte keine Kenntnis von dessen Sanktionierung. Eine Abfrage der konsolidierten EU-Sanktionsliste unterblieb nicht aus Kalkül, sondern aufgrund unzureichender interner Prozesse.</w:t>
      </w:r>
    </w:p>
    <w:p>
      <w:pPr>
        <w:pStyle w:val="Heading3"/>
      </w:pPr>
      <w:r>
        <w:rPr>
          <w:rFonts w:ascii="Times New Roman" w:hAnsi="Times New Roman"/>
        </w:rPr>
        <w:t>Compliance-Nachweis als Milderungsgrund</w:t>
      </w:r>
    </w:p>
    <w:p>
      <w:pPr>
        <w:jc w:val="left"/>
      </w:pPr>
      <w:r>
        <w:t>Im Bußgeldverfahren nach § 23 SanktDG können nachträgliche Compliance-Maßnahmen (neue Risikoanalyse, neuer AML-Officer, Einführung Sanktionsscreening) bußgeldmindernd berücksichtigt werden. Die BaFin hat intern (nicht öffentlich) kommuniziert, dass bei umfassender Kooperation und nachgewiesener Remediation eine erhebliche Bußgeldreduktion möglich ist.</w:t>
      </w:r>
    </w:p>
    <w:p>
      <w:pPr>
        <w:pStyle w:val="Heading3"/>
      </w:pPr>
      <w:r>
        <w:rPr>
          <w:rFonts w:ascii="Times New Roman" w:hAnsi="Times New Roman"/>
        </w:rPr>
        <w:t>Verhältnismäßigkeit</w:t>
      </w:r>
    </w:p>
    <w:p>
      <w:pPr>
        <w:jc w:val="left"/>
      </w:pPr>
      <w:r>
        <w:t>Bei einer Kanzlei mit 22 Anwälten ist der pauschale Bußgeldrahmen von bis zu 1 Mio. EUR unverhältnismäßig. Die Verteidigung wird auf § 17 Abs. 3 OWiG (Zumessung nach wirtschaftlichen Verhältnissen) hinweisen und eine signifikante Reduktion des Bußgeldes anstreben.</w:t>
      </w:r>
    </w:p>
    <w:p/>
    <w:p>
      <w:pPr>
        <w:pStyle w:val="Heading2"/>
      </w:pPr>
      <w:r>
        <w:rPr>
          <w:rFonts w:ascii="Times New Roman" w:hAnsi="Times New Roman"/>
        </w:rPr>
        <w:t>Sicherstellung der Immobilien</w:t>
      </w:r>
    </w:p>
    <w:p>
      <w:pPr>
        <w:jc w:val="left"/>
      </w:pPr>
      <w:r>
        <w:t>Nach §§ 12 ff. SanktDG kann die BaFin im Wege der Verwaltungsvollstreckung die eingefrorenen Vermögenswerte sicherstellen. Die vier Ferienimmobilien auf Amrum, soweit sie Smolenski zuzurechnen sind, können eingefroren werden.</w:t>
      </w:r>
    </w:p>
    <w:p>
      <w:pPr>
        <w:jc w:val="left"/>
      </w:pPr>
      <w:r>
        <w:t>Für die Kanzlei Sandhof &amp; Partner hat dies unmittelbare Konsequenzen: Etwaige noch offene Honorarforderungen aus den Transaktionen können — soweit sie aus der Vermögensmasse Smolenski/Bluetail bedient werden müssen — dem Einfriergebot unterfallen.</w:t>
      </w:r>
    </w:p>
    <w:p>
      <w:pPr>
        <w:jc w:val="left"/>
      </w:pPr>
      <w:r>
        <w:t>Stand: Es liegen noch keine formellen Einfrierungsbescheide der BaFin für die Amrum-Objekte vor. Die zuständige Immobilienaufsicht (Zollfahndungsamt Hamburg) hat nach Aktenlage eine Prüfung eingeleitet.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Koordination zwischen BaFin und Zoll</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Koordination zwischen BaFin und Zoll</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