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Immobilien-Kaufverträge Amrum — Rechtliche Bewertung und Kompromittierung</w:t>
      </w:r>
    </w:p>
    <w:p>
      <w:pPr>
        <w:jc w:val="left"/>
      </w:pPr>
      <w:r>
        <w:t>Bearbeiter: RAin Dr. Johanna Reimers</w:t>
      </w:r>
    </w:p>
    <w:p>
      <w:pPr>
        <w:jc w:val="left"/>
      </w:pPr>
      <w:r>
        <w:t>Datum: 22. April 2026</w:t>
      </w:r>
    </w:p>
    <w:p/>
    <w:p>
      <w:pPr>
        <w:pStyle w:val="Heading2"/>
      </w:pPr>
      <w:r>
        <w:rPr>
          <w:rFonts w:ascii="Times New Roman" w:hAnsi="Times New Roman"/>
        </w:rPr>
        <w:t>Überblick über die vier Kaufverträge</w:t>
      </w:r>
    </w:p>
    <w:p>
      <w:pPr>
        <w:jc w:val="left"/>
      </w:pPr>
      <w:r>
        <w:t>Alle vier Kaufverträge wurden vor dem Notariat Petersen &amp; Clasen, Hauptstraße 7, 25813 Husum, beurkundet. Die Beurkundungen erfolgten gemäß §§ 1 ff. BeurkG i.V.m. §§ 311b Abs. 1, 925 BGB. Die Kaufpreise wurden von einem zypriotischen Bankkonto (Laiki Trust Finance, Limassol) auf das Notaranderkonto überwiesen.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Nr.</w:t>
            </w:r>
          </w:p>
        </w:tc>
        <w:tc>
          <w:tcPr>
            <w:tcW w:type="dxa" w:w="1814"/>
          </w:tcPr>
          <w:p>
            <w:r>
              <w:rPr>
                <w:rFonts w:ascii="Times New Roman" w:hAnsi="Times New Roman"/>
                <w:b/>
                <w:sz w:val="20"/>
              </w:rPr>
              <w:t>Grundbuch</w:t>
            </w:r>
          </w:p>
        </w:tc>
        <w:tc>
          <w:tcPr>
            <w:tcW w:type="dxa" w:w="1814"/>
          </w:tcPr>
          <w:p>
            <w:r>
              <w:rPr>
                <w:rFonts w:ascii="Times New Roman" w:hAnsi="Times New Roman"/>
                <w:b/>
                <w:sz w:val="20"/>
              </w:rPr>
              <w:t>Kaufpreis</w:t>
            </w:r>
          </w:p>
        </w:tc>
        <w:tc>
          <w:tcPr>
            <w:tcW w:type="dxa" w:w="1814"/>
          </w:tcPr>
          <w:p>
            <w:r>
              <w:rPr>
                <w:rFonts w:ascii="Times New Roman" w:hAnsi="Times New Roman"/>
                <w:b/>
                <w:sz w:val="20"/>
              </w:rPr>
              <w:t>Beurk.</w:t>
            </w:r>
          </w:p>
        </w:tc>
        <w:tc>
          <w:tcPr>
            <w:tcW w:type="dxa" w:w="1814"/>
          </w:tcPr>
          <w:p>
            <w:r>
              <w:rPr>
                <w:rFonts w:ascii="Times New Roman" w:hAnsi="Times New Roman"/>
                <w:b/>
                <w:sz w:val="20"/>
              </w:rPr>
              <w:t>Notar</w:t>
            </w:r>
          </w:p>
        </w:tc>
      </w:tr>
      <w:tr>
        <w:tc>
          <w:tcPr>
            <w:tcW w:type="dxa" w:w="1814"/>
          </w:tcPr>
          <w:p>
            <w:r>
              <w:rPr>
                <w:rFonts w:ascii="Times New Roman" w:hAnsi="Times New Roman"/>
                <w:sz w:val="20"/>
              </w:rPr>
              <w:t>1</w:t>
            </w:r>
          </w:p>
        </w:tc>
        <w:tc>
          <w:tcPr>
            <w:tcW w:type="dxa" w:w="1814"/>
          </w:tcPr>
          <w:p>
            <w:r>
              <w:rPr>
                <w:rFonts w:ascii="Times New Roman" w:hAnsi="Times New Roman"/>
                <w:sz w:val="20"/>
              </w:rPr>
              <w:t>Norddorf Bl. 1847</w:t>
            </w:r>
          </w:p>
        </w:tc>
        <w:tc>
          <w:tcPr>
            <w:tcW w:type="dxa" w:w="1814"/>
          </w:tcPr>
          <w:p>
            <w:r>
              <w:rPr>
                <w:rFonts w:ascii="Times New Roman" w:hAnsi="Times New Roman"/>
                <w:sz w:val="20"/>
              </w:rPr>
              <w:t>1.240.000 EUR</w:t>
            </w:r>
          </w:p>
        </w:tc>
        <w:tc>
          <w:tcPr>
            <w:tcW w:type="dxa" w:w="1814"/>
          </w:tcPr>
          <w:p>
            <w:r>
              <w:rPr>
                <w:rFonts w:ascii="Times New Roman" w:hAnsi="Times New Roman"/>
                <w:sz w:val="20"/>
              </w:rPr>
              <w:t>14.06.2024</w:t>
            </w:r>
          </w:p>
        </w:tc>
        <w:tc>
          <w:tcPr>
            <w:tcW w:type="dxa" w:w="1814"/>
          </w:tcPr>
          <w:p>
            <w:r>
              <w:rPr>
                <w:rFonts w:ascii="Times New Roman" w:hAnsi="Times New Roman"/>
                <w:sz w:val="20"/>
              </w:rPr>
              <w:t>RA Clasen</w:t>
            </w:r>
          </w:p>
        </w:tc>
      </w:tr>
      <w:tr>
        <w:tc>
          <w:tcPr>
            <w:tcW w:type="dxa" w:w="1814"/>
          </w:tcPr>
          <w:p>
            <w:r>
              <w:rPr>
                <w:rFonts w:ascii="Times New Roman" w:hAnsi="Times New Roman"/>
                <w:sz w:val="20"/>
              </w:rPr>
              <w:t>2</w:t>
            </w:r>
          </w:p>
        </w:tc>
        <w:tc>
          <w:tcPr>
            <w:tcW w:type="dxa" w:w="1814"/>
          </w:tcPr>
          <w:p>
            <w:r>
              <w:rPr>
                <w:rFonts w:ascii="Times New Roman" w:hAnsi="Times New Roman"/>
                <w:sz w:val="20"/>
              </w:rPr>
              <w:t>Nebel Bl. 0312</w:t>
            </w:r>
          </w:p>
        </w:tc>
        <w:tc>
          <w:tcPr>
            <w:tcW w:type="dxa" w:w="1814"/>
          </w:tcPr>
          <w:p>
            <w:r>
              <w:rPr>
                <w:rFonts w:ascii="Times New Roman" w:hAnsi="Times New Roman"/>
                <w:sz w:val="20"/>
              </w:rPr>
              <w:t>980.000 EUR</w:t>
            </w:r>
          </w:p>
        </w:tc>
        <w:tc>
          <w:tcPr>
            <w:tcW w:type="dxa" w:w="1814"/>
          </w:tcPr>
          <w:p>
            <w:r>
              <w:rPr>
                <w:rFonts w:ascii="Times New Roman" w:hAnsi="Times New Roman"/>
                <w:sz w:val="20"/>
              </w:rPr>
              <w:t>02.09.2024</w:t>
            </w:r>
          </w:p>
        </w:tc>
        <w:tc>
          <w:tcPr>
            <w:tcW w:type="dxa" w:w="1814"/>
          </w:tcPr>
          <w:p>
            <w:r>
              <w:rPr>
                <w:rFonts w:ascii="Times New Roman" w:hAnsi="Times New Roman"/>
                <w:sz w:val="20"/>
              </w:rPr>
              <w:t>RA Petersen</w:t>
            </w:r>
          </w:p>
        </w:tc>
      </w:tr>
      <w:tr>
        <w:tc>
          <w:tcPr>
            <w:tcW w:type="dxa" w:w="1814"/>
          </w:tcPr>
          <w:p>
            <w:r>
              <w:rPr>
                <w:rFonts w:ascii="Times New Roman" w:hAnsi="Times New Roman"/>
                <w:sz w:val="20"/>
              </w:rPr>
              <w:t>3</w:t>
            </w:r>
          </w:p>
        </w:tc>
        <w:tc>
          <w:tcPr>
            <w:tcW w:type="dxa" w:w="1814"/>
          </w:tcPr>
          <w:p>
            <w:r>
              <w:rPr>
                <w:rFonts w:ascii="Times New Roman" w:hAnsi="Times New Roman"/>
                <w:sz w:val="20"/>
              </w:rPr>
              <w:t>Wittdün Bl. 2291</w:t>
            </w:r>
          </w:p>
        </w:tc>
        <w:tc>
          <w:tcPr>
            <w:tcW w:type="dxa" w:w="1814"/>
          </w:tcPr>
          <w:p>
            <w:r>
              <w:rPr>
                <w:rFonts w:ascii="Times New Roman" w:hAnsi="Times New Roman"/>
                <w:sz w:val="20"/>
              </w:rPr>
              <w:t>1.450.000 EUR</w:t>
            </w:r>
          </w:p>
        </w:tc>
        <w:tc>
          <w:tcPr>
            <w:tcW w:type="dxa" w:w="1814"/>
          </w:tcPr>
          <w:p>
            <w:r>
              <w:rPr>
                <w:rFonts w:ascii="Times New Roman" w:hAnsi="Times New Roman"/>
                <w:sz w:val="20"/>
              </w:rPr>
              <w:t>18.11.2024</w:t>
            </w:r>
          </w:p>
        </w:tc>
        <w:tc>
          <w:tcPr>
            <w:tcW w:type="dxa" w:w="1814"/>
          </w:tcPr>
          <w:p>
            <w:r>
              <w:rPr>
                <w:rFonts w:ascii="Times New Roman" w:hAnsi="Times New Roman"/>
                <w:sz w:val="20"/>
              </w:rPr>
              <w:t>RA Clasen</w:t>
            </w:r>
          </w:p>
        </w:tc>
      </w:tr>
      <w:tr>
        <w:tc>
          <w:tcPr>
            <w:tcW w:type="dxa" w:w="1814"/>
          </w:tcPr>
          <w:p>
            <w:r>
              <w:rPr>
                <w:rFonts w:ascii="Times New Roman" w:hAnsi="Times New Roman"/>
                <w:sz w:val="20"/>
              </w:rPr>
              <w:t>4</w:t>
            </w:r>
          </w:p>
        </w:tc>
        <w:tc>
          <w:tcPr>
            <w:tcW w:type="dxa" w:w="1814"/>
          </w:tcPr>
          <w:p>
            <w:r>
              <w:rPr>
                <w:rFonts w:ascii="Times New Roman" w:hAnsi="Times New Roman"/>
                <w:sz w:val="20"/>
              </w:rPr>
              <w:t>Norddorf Bl. 2054</w:t>
            </w:r>
          </w:p>
        </w:tc>
        <w:tc>
          <w:tcPr>
            <w:tcW w:type="dxa" w:w="1814"/>
          </w:tcPr>
          <w:p>
            <w:r>
              <w:rPr>
                <w:rFonts w:ascii="Times New Roman" w:hAnsi="Times New Roman"/>
                <w:sz w:val="20"/>
              </w:rPr>
              <w:t>870.000 EUR</w:t>
            </w:r>
          </w:p>
        </w:tc>
        <w:tc>
          <w:tcPr>
            <w:tcW w:type="dxa" w:w="1814"/>
          </w:tcPr>
          <w:p>
            <w:r>
              <w:rPr>
                <w:rFonts w:ascii="Times New Roman" w:hAnsi="Times New Roman"/>
                <w:sz w:val="20"/>
              </w:rPr>
              <w:t>07.02.2025</w:t>
            </w:r>
          </w:p>
        </w:tc>
        <w:tc>
          <w:tcPr>
            <w:tcW w:type="dxa" w:w="1814"/>
          </w:tcPr>
          <w:p>
            <w:r>
              <w:rPr>
                <w:rFonts w:ascii="Times New Roman" w:hAnsi="Times New Roman"/>
                <w:sz w:val="20"/>
              </w:rPr>
              <w:t>RA Petersen</w:t>
            </w:r>
          </w:p>
        </w:tc>
      </w:tr>
    </w:tbl>
    <w:p>
      <w:pPr>
        <w:jc w:val="left"/>
      </w:pPr>
      <w:r>
        <w:t>Die Eintragungen ins Grundbuch (Amtsgericht Husum) erfolgten jeweils binnen vier bis sechs Wochen nach Beurkundung.</w:t>
      </w:r>
    </w:p>
    <w:p/>
    <w:p>
      <w:pPr>
        <w:pStyle w:val="Heading2"/>
      </w:pPr>
      <w:r>
        <w:rPr>
          <w:rFonts w:ascii="Times New Roman" w:hAnsi="Times New Roman"/>
        </w:rPr>
        <w:t>Wirksamkeit der Kaufverträge</w:t>
      </w:r>
    </w:p>
    <w:p>
      <w:pPr>
        <w:jc w:val="left"/>
      </w:pPr>
      <w:r>
        <w:t>Die Kaufverträge sind als solche formal wirksam: Sie erfüllen die Form des § 311b Abs. 1 BGB (notarielle Beurkundung) und die Eigentumsübertragung ist durch Einigung und Eintragung nach §§ 873, 925 BGB vollzogen. Die Unwirksamkeit eines Rechtsgeschäfts allein aufgrund eines GwG-Verstoßes ist im deutschen Recht nicht vorgesehen — die GwG-Pflichten sind keine Verbotsgesetze im Sinne des § 134 BGB, soweit sie sich an den Verpflichteten richten, nicht an die Transaktion selbst.</w:t>
      </w:r>
    </w:p>
    <w:p>
      <w:pPr>
        <w:jc w:val="left"/>
      </w:pPr>
      <w:r>
        <w:t>Allerdings: § 134 BGB i.V.m. Art. 2 VO (EU) Nr. 833/2014 (Bereitstellungsverbot): Das Bereitstellungsverbot der EU-Sanktionsverordnung könnte ein Verbotsgesetz im Sinne des § 134 BGB darstellen, das die Nichtigkeit der Verträge bewirkt. Diese Frage ist in der deutschen Rechtsprechung bisher nicht abschließend geklärt. Erste OLG-Entscheidungen tendieren dazu, einen Verstoß gegen Sanktionsrecht nicht automatisch zur Gesamtnichtigkeit des dinglichen Geschäfts zu führen; jedoch ist die schuldrechtliche Wirksamkeit strittiger.</w:t>
      </w:r>
    </w:p>
    <w:p/>
    <w:p>
      <w:pPr>
        <w:pStyle w:val="Heading2"/>
      </w:pPr>
      <w:r>
        <w:rPr>
          <w:rFonts w:ascii="Times New Roman" w:hAnsi="Times New Roman"/>
        </w:rPr>
        <w:t>Grundbuchlage und mögliche Einziehung</w:t>
      </w:r>
    </w:p>
    <w:p>
      <w:pPr>
        <w:jc w:val="left"/>
      </w:pPr>
      <w:r>
        <w:t>Die Bluetail Holdings Ltd. ist als Eigentümerin in den Grundbüchern (AG Husum) eingetragen. Eine Einziehung des Grundbesitzes kann auf zwei Wegen erfolgen:</w:t>
      </w:r>
    </w:p>
    <w:p>
      <w:pPr>
        <w:pStyle w:val="Heading3"/>
      </w:pPr>
      <w:r>
        <w:rPr>
          <w:rFonts w:ascii="Times New Roman" w:hAnsi="Times New Roman"/>
        </w:rPr>
        <w:t>Strafrecht: § 73 StGB (Einziehung des Erlangten)</w:t>
      </w:r>
    </w:p>
    <w:p>
      <w:pPr>
        <w:jc w:val="left"/>
      </w:pPr>
      <w:r>
        <w:t>Nach §§ 73 ff. StGB können Vermögensgegenstände eingezogen werden, die aus einer Straftat erlangt wurden. Der BGH hat in seinem Grundsatzurteil BGHSt 57, 79 (Beschl. v. 12.05.2016 — 2 ARs 67/16) die Einziehung auch bei Dritten (§ 73b StGB) zugelassen, wenn der Dritte Durchgangsstation der Straftat war.</w:t>
      </w:r>
    </w:p>
    <w:p>
      <w:pPr>
        <w:jc w:val="left"/>
      </w:pPr>
      <w:r>
        <w:t>Die vier Ferienimmobilien können nach §§ 73, 73b StGB eingezogen werden, wenn Smolenski oder Bluetail Holdings Ltd. als Täter oder Teilnehmer der Straftat nach § 261 StGB verurteilt werden. Sandhof ist nicht der Erwerber — ihn trifft keine unmittelbare Einziehung seines Eigentums, wohl aber das Risiko einer Verurteilung und eines Vermögensarrests wegen Sicherung der Staatskasse.</w:t>
      </w:r>
    </w:p>
    <w:p>
      <w:pPr>
        <w:pStyle w:val="Heading3"/>
      </w:pPr>
      <w:r>
        <w:rPr>
          <w:rFonts w:ascii="Times New Roman" w:hAnsi="Times New Roman"/>
        </w:rPr>
        <w:t>Sanktionsrecht: Einfrieren nach § 2 SanktDG i.V.m. VO (EU) Nr. 833/2014</w:t>
      </w:r>
    </w:p>
    <w:p>
      <w:pPr>
        <w:jc w:val="left"/>
      </w:pPr>
      <w:r>
        <w:t>Die BaFin kann im Wege der Verwaltungsvollstreckung die Immobilien als Vermögenswerte einer sanktionierten Person (Smolenski) einfrieren. Ein Einfrierungsbescheid ist nach Aktenlage noch nicht ergangen, aber in Vorbereitung.</w:t>
      </w:r>
    </w:p>
    <w:p/>
    <w:p>
      <w:pPr>
        <w:pStyle w:val="Heading2"/>
      </w:pPr>
      <w:r>
        <w:rPr>
          <w:rFonts w:ascii="Times New Roman" w:hAnsi="Times New Roman"/>
        </w:rPr>
        <w:t>Haftpflicht der Kanzlei für Vertragsschäden?</w:t>
      </w:r>
    </w:p>
    <w:p>
      <w:pPr>
        <w:jc w:val="left"/>
      </w:pPr>
      <w:r>
        <w:t>Wenn der Kaufvertrag Komplikationen durch das Sanktionsrecht erfährt (z.B. Rückabwicklung, staatliche Einziehung), könnte Bluetail Holdings Ltd. — oder der dahinterstehende Smolenski — Schadensersatzansprüche gegen die Kanzlei Sandhof &amp; Partner geltend machen. Begründung: Die Kanzlei habe durch unzureichende Beratung die Risiken nicht aufgezeigt.</w:t>
      </w:r>
    </w:p>
    <w:p>
      <w:pPr>
        <w:jc w:val="left"/>
      </w:pPr>
      <w:r>
        <w:t>Praktische Einschätzung: Eine solche Klage ist möglich, aber wenig wahrscheinlich. Smolenski müsste einen Anwalt in Deutschland mandatieren, was angesichts seiner Sanktionierung schwierig ist. Außerdem wäre sein Klagerecht durch das Bereitstellungsverbot (keine Dienstleistungen gegenüber sanktionierten Personen) de facto blockiert.</w:t>
      </w:r>
    </w:p>
    <w:p/>
    <w:p>
      <w:pPr>
        <w:pStyle w:val="Heading2"/>
      </w:pPr>
      <w:r>
        <w:rPr>
          <w:rFonts w:ascii="Times New Roman" w:hAnsi="Times New Roman"/>
        </w:rPr>
        <w:t>Meldepflicht des Notars: Auslöser der Ermittlungen</w:t>
      </w:r>
    </w:p>
    <w:p>
      <w:pPr>
        <w:jc w:val="left"/>
      </w:pPr>
      <w:r>
        <w:t>Das Notariat Petersen &amp; Clasen hat nach der vierten Beurkundung (07.02.2025) intern geprüft und am 18.02.2025 eine FIU-Meldung erstattet. Der Notar ist ebenfalls Verpflichteter nach § 2 Abs. 1 Nr. 10 GwG und hatte bis zur vierten Transaktion keine gesonderte Prüfung des UBO vorgenommen. Die nachträgliche Meldung hat die gesamten Ermittlungen ausgelöst.</w:t>
      </w:r>
    </w:p>
    <w:p>
      <w:pPr>
        <w:jc w:val="left"/>
      </w:pPr>
      <w:r>
        <w:t>Für die Verteidigung Sandhofs ist dieser Umstand zweischneidig: Einerseits zeigt er, dass auch der Notar die GwG-Prüfung zunächst unterlassen hat — was den Vorwurf gegen Sandhof relativieren könnte. Andererseits hat der Notar immerhin gemeldet; Sandhof nicht. Das macht die Vergleichbarkeit begrenzt.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Husum</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Husum</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