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AGB-Kontrolle — § 305c BGB: Überraschende Klausel im Convotherm-Liefervertrag</w:t>
      </w:r>
    </w:p>
    <w:p>
      <w:pPr>
        <w:jc w:val="left"/>
      </w:pPr>
      <w:r>
        <w:rPr>
          <w:b/>
        </w:rPr>
        <w:t>Bearbeiter:</w:t>
      </w:r>
      <w:r>
        <w:t xml:space="preserve"> RA Dr. Heinrich Schweizer-Loberg</w:t>
      </w:r>
    </w:p>
    <w:p>
      <w:pPr>
        <w:jc w:val="left"/>
      </w:pPr>
      <w:r>
        <w:rPr>
          <w:b/>
        </w:rPr>
        <w:t>Datum:</w:t>
      </w:r>
      <w:r>
        <w:t xml:space="preserve"> 04. April 2026</w:t>
      </w:r>
    </w:p>
    <w:p>
      <w:pPr>
        <w:jc w:val="left"/>
      </w:pPr>
      <w:r>
        <w:rPr>
          <w:b/>
        </w:rPr>
        <w:t>Bezug:</w:t>
      </w:r>
      <w:r>
        <w:t xml:space="preserve"> Convotherm-Liefervertrag AGB-Klausel 9 (verlängerter Eigentumsvorbehalt / Vorausabtretung)</w:t>
      </w:r>
    </w:p>
    <w:p/>
    <w:p>
      <w:pPr>
        <w:pStyle w:val="Heading2"/>
      </w:pPr>
      <w:r>
        <w:rPr>
          <w:rFonts w:ascii="Times New Roman" w:hAnsi="Times New Roman"/>
        </w:rPr>
        <w:t>I. Sachverhalt und Klauseltext</w:t>
      </w:r>
    </w:p>
    <w:p>
      <w:pPr>
        <w:jc w:val="left"/>
      </w:pPr>
      <w:r>
        <w:t xml:space="preserve">Im Liefervertrag über 12 Convotherm-Öfen (Gesamtkaufpreis 220.000 EUR) enthält </w:t>
      </w:r>
      <w:r>
        <w:rPr>
          <w:b/>
        </w:rPr>
        <w:t>§ 9 der AGB</w:t>
      </w:r>
      <w:r>
        <w:t xml:space="preserve"> von Convotherm Elektrogeräte GmbH folgenden Passus:</w:t>
      </w:r>
    </w:p>
    <w:p>
      <w:pPr>
        <w:ind w:left="567"/>
      </w:pPr>
      <w:r>
        <w:rPr>
          <w:i/>
        </w:rPr>
        <w:t>„Zur Sicherung aller gegenwärtigen und zukünftigen Forderungen aus der Geschäftsbeziehung tritt der Käufer hiermit alle Forderungen aus dem Weiterverkauf der unter Eigentumsvorbehalt gelieferten Waren, einschließlich etwaiger Saldoforderungen, an den Verkäufer ab. Der Verkäufer nimmt diese Abtretung an. Der Käufer ist berechtigt, die Forderungen einzuziehen, solange der Verkäufer dies nicht widerruft."</w:t>
      </w:r>
    </w:p>
    <w:p>
      <w:pPr>
        <w:jc w:val="left"/>
      </w:pPr>
      <w:r>
        <w:t>Zusätzlich enthält § 9 Abs. 3 AGB:</w:t>
      </w:r>
    </w:p>
    <w:p>
      <w:pPr>
        <w:ind w:left="567"/>
      </w:pPr>
      <w:r>
        <w:rPr>
          <w:i/>
        </w:rPr>
        <w:t>„Im Fall der Verarbeitung oder Verbindung der Vorbehaltsware mit anderen Gegenständen erwirbt der Verkäufer Miteigentum an der neuen Sache im Verhältnis des Werts der Vorbehaltsware zum Wert der neuen Sache."</w:t>
      </w:r>
    </w:p>
    <w:p/>
    <w:p>
      <w:pPr>
        <w:pStyle w:val="Heading2"/>
      </w:pPr>
      <w:r>
        <w:rPr>
          <w:rFonts w:ascii="Times New Roman" w:hAnsi="Times New Roman"/>
        </w:rPr>
        <w:t>II. AGB-Rechtliche Prüfung</w:t>
      </w:r>
    </w:p>
    <w:p>
      <w:pPr>
        <w:pStyle w:val="Heading3"/>
      </w:pPr>
      <w:r>
        <w:rPr>
          <w:rFonts w:ascii="Times New Roman" w:hAnsi="Times New Roman"/>
        </w:rPr>
        <w:t>A. Einbeziehung der AGB, §§ 305 Abs. 2, 305c Abs. 1 BGB</w:t>
      </w:r>
    </w:p>
    <w:p>
      <w:pPr>
        <w:jc w:val="left"/>
      </w:pPr>
      <w:r>
        <w:rPr>
          <w:b/>
        </w:rPr>
        <w:t>§ 305 Abs. 2 BGB</w:t>
      </w:r>
      <w:r>
        <w:t xml:space="preserve"> setzt für die Einbeziehung voraus, dass der Verwender auf die AGB hinweist und der anderen Partei die Möglichkeit verschafft, in zumutbarer Weise Kenntnis zu nehmen.</w:t>
      </w:r>
    </w:p>
    <w:p>
      <w:pPr>
        <w:jc w:val="left"/>
      </w:pPr>
      <w:r>
        <w:rPr>
          <w:b/>
        </w:rPr>
        <w:t>Im B2B-Verhältnis</w:t>
      </w:r>
      <w:r>
        <w:t xml:space="preserve"> (beide Parteien Unternehmer): Die §§ 305 Abs. 2, 310 Abs. 1 BGB gelten im Unternehmerverkehr nur eingeschränkt. § 305 Abs. 2 BGB findet auf Unternehmer keine Anwendung — AGB werden in Handelsbräuchen ohne ausdrücklichen Hinweis einbezogen, wenn ihr Einsatz im betroffenen Verkehrskreis üblich ist (BGH NJW 2002, 370).</w:t>
      </w:r>
    </w:p>
    <w:p>
      <w:pPr>
        <w:jc w:val="left"/>
      </w:pPr>
      <w:r>
        <w:rPr>
          <w:b/>
        </w:rPr>
        <w:t>Subsumtion:</w:t>
      </w:r>
      <w:r>
        <w:t xml:space="preserve"> Beide Parteien sind Unternehmer (§ 14 BGB). AGB-Einbeziehung im Unternehmerverkehr erfolgt nach §§ 305 Abs. 1, 310 Abs. 1 BGB ohne strenge Einbeziehungsvoraussetzungen. Die AGB waren dem Auftragsschreiben beigefügt und abrufbar unter der Convotherm-Website. Einbeziehung (+).</w:t>
      </w:r>
    </w:p>
    <w:p/>
    <w:p>
      <w:pPr>
        <w:pStyle w:val="Heading3"/>
      </w:pPr>
      <w:r>
        <w:rPr>
          <w:rFonts w:ascii="Times New Roman" w:hAnsi="Times New Roman"/>
        </w:rPr>
        <w:t>B. Überraschende Klausel, § 305c Abs. 1 BGB</w:t>
      </w:r>
    </w:p>
    <w:p>
      <w:pPr>
        <w:jc w:val="left"/>
      </w:pPr>
      <w:r>
        <w:rPr>
          <w:b/>
        </w:rPr>
        <w:t>Definition § 305c Abs. 1 BGB:</w:t>
      </w:r>
      <w:r>
        <w:t xml:space="preserve"> „Bestimmungen in Allgemeinen Geschäftsbedingungen, die nach den Umständen, insbesondere nach dem äußeren Erscheinungsbild des Vertrags, so ungewöhnlich sind, dass der Vertragspartner des Verwenders mit ihnen nicht zu rechnen braucht, werden nicht Vertragsbestandteil."</w:t>
      </w:r>
    </w:p>
    <w:p>
      <w:pPr>
        <w:jc w:val="left"/>
      </w:pPr>
      <w:r>
        <w:rPr>
          <w:b/>
        </w:rPr>
        <w:t>Zweck:</w:t>
      </w:r>
      <w:r>
        <w:t xml:space="preserve"> Schutz vor versteckten oder ungewöhnlich weitgehenden Klauseln, die dem Vertragspartner nicht offensichtlich erkennbar sind.</w:t>
      </w:r>
    </w:p>
    <w:p>
      <w:pPr>
        <w:jc w:val="left"/>
      </w:pPr>
      <w:r>
        <w:rPr>
          <w:b/>
        </w:rPr>
        <w:t>Prüfungsschritte (BGH NJW 1992, 1232):</w:t>
      </w:r>
    </w:p>
    <w:p>
      <w:pPr>
        <w:pStyle w:val="ListNumber"/>
      </w:pPr>
      <w:r>
        <w:t>Objektives Überraschungsmoment: Ist die Klausel ungewöhnlich für Verträge dieser Art?</w:t>
      </w:r>
    </w:p>
    <w:p>
      <w:pPr>
        <w:pStyle w:val="ListNumber"/>
      </w:pPr>
      <w:r>
        <w:t>Subjektives Element: Musste der Vertragspartner nach den Umständen des Einzelfalls mit dieser Klausel rechnen?</w:t>
      </w:r>
    </w:p>
    <w:p>
      <w:pPr>
        <w:jc w:val="left"/>
      </w:pPr>
      <w:r>
        <w:rPr>
          <w:b/>
        </w:rPr>
        <w:t>Prüfung Klausel § 9 Abs. 1 (verlängerter EV / Vorausabtretung):</w:t>
      </w:r>
    </w:p>
    <w:p>
      <w:pPr>
        <w:jc w:val="left"/>
      </w:pPr>
      <w:r>
        <w:t xml:space="preserve">Der einfache Eigentumsvorbehalt ist im Geräteliefergeschäft zwischen Unternehmern üblich und für die GmbH als erfahrene Käuferin zu erwarten. Hingegen ist die </w:t>
      </w:r>
      <w:r>
        <w:rPr>
          <w:b/>
        </w:rPr>
        <w:t>Erweiterung auf alle zukünftigen Forderungen aus der Geschäftsbeziehung</w:t>
      </w:r>
      <w:r>
        <w:t xml:space="preserve"> (Konzernvorbehalt / Kontokorrentvorbehalt) ein Überraschungsmoment, da ein einfacher Eigentumsvorbehalt üblicherweise nur den konkreten Kaufpreis sichert. Die Erstreckung auf sämtliche künftigen Forderungen geht deutlich über die typische Erwartung hinaus.</w:t>
      </w:r>
    </w:p>
    <w:p>
      <w:pPr>
        <w:jc w:val="left"/>
      </w:pPr>
      <w:r>
        <w:rPr>
          <w:b/>
        </w:rPr>
        <w:t>BGH NJW 2002, 370:</w:t>
      </w:r>
      <w:r>
        <w:t xml:space="preserve"> Der BGH hat Konzernvorbehalte in AGB im B2B-Bereich als wirkungsvoll behandelt, wenn sie klar formuliert und nicht versteckt sind. Hier steht die Klausel in § 9 — dem Eigentumsvorbehalt-Paragraf — und ist inhaltlich zumindest tendenziell erkennbar. Überraschungscharakter fraglich.</w:t>
      </w:r>
    </w:p>
    <w:p>
      <w:pPr>
        <w:jc w:val="left"/>
      </w:pPr>
      <w:r>
        <w:rPr>
          <w:b/>
        </w:rPr>
        <w:t>Prüfung Klausel § 9 Abs. 3 (Verarbeitungsklausel / Miteigentum):</w:t>
      </w:r>
    </w:p>
    <w:p>
      <w:pPr>
        <w:jc w:val="left"/>
      </w:pPr>
      <w:r>
        <w:t>Die automatische Miteigentumsklausel an verarbeiteten/verbundenen Waren ist für einen Gastronomiebetrieb, der Öfen kauft, durchaus ungewöhnlich: Öfen werden normalerweise nicht mit anderen Waren verbunden oder verarbeitet. Diese Klausel ist typisch für Rohstofflieferanten, nicht für Gerätehersteller. Hier liegt ein objektives Überraschungsmoment vor.</w:t>
      </w:r>
    </w:p>
    <w:p>
      <w:pPr>
        <w:jc w:val="left"/>
      </w:pPr>
      <w:r>
        <w:rPr>
          <w:b/>
        </w:rPr>
        <w:t>Ergebnis § 305c Abs. 1 BGB:</w:t>
      </w:r>
    </w:p>
    <w:p>
      <w:pPr>
        <w:pStyle w:val="ListBullet"/>
      </w:pPr>
      <w:r>
        <w:t>§ 9 Abs. 1 AGB (verlängerter EV / Vorausabtretung): Grenzfall — kein Überraschungsmoment bei erfahrenem Unternehmer im Gerätehandel.</w:t>
      </w:r>
    </w:p>
    <w:p>
      <w:pPr>
        <w:pStyle w:val="ListBullet"/>
      </w:pPr>
      <w:r>
        <w:t>§ 9 Abs. 3 AGB (Verarbeitungsklausel): Überraschungsmoment (+) — wird nicht Vertragsbestandteil.</w:t>
      </w:r>
    </w:p>
    <w:p/>
    <w:p>
      <w:pPr>
        <w:pStyle w:val="Heading3"/>
      </w:pPr>
      <w:r>
        <w:rPr>
          <w:rFonts w:ascii="Times New Roman" w:hAnsi="Times New Roman"/>
        </w:rPr>
        <w:t>C. Inhaltskontrolle §§ 307 ff. BGB (hilfsweise)</w:t>
      </w:r>
    </w:p>
    <w:p>
      <w:pPr>
        <w:jc w:val="left"/>
      </w:pPr>
      <w:r>
        <w:t>Soweit § 305c BGB nicht greift, ist die Inhaltskontrolle zu prüfen.</w:t>
      </w:r>
    </w:p>
    <w:p>
      <w:pPr>
        <w:jc w:val="left"/>
      </w:pPr>
      <w:r>
        <w:rPr>
          <w:b/>
        </w:rPr>
        <w:t>§ 307 Abs. 1 BGB:</w:t>
      </w:r>
      <w:r>
        <w:t xml:space="preserve"> Unwirksam, wenn unangemessene Benachteiligung des Vertragspartners entgegen Treu und Glauben.</w:t>
      </w:r>
    </w:p>
    <w:p>
      <w:pPr>
        <w:jc w:val="left"/>
      </w:pPr>
      <w:r>
        <w:rPr>
          <w:b/>
        </w:rPr>
        <w:t>§ 310 Abs. 1 BGB:</w:t>
      </w:r>
      <w:r>
        <w:t xml:space="preserve"> §§ 308, 309 BGB gelten nicht im unternehmerischen Verkehr; § 307 BGB bleibt anwendbar.</w:t>
      </w:r>
    </w:p>
    <w:p>
      <w:pPr>
        <w:jc w:val="left"/>
      </w:pPr>
      <w:r>
        <w:rPr>
          <w:b/>
        </w:rPr>
        <w:t>Prüfung § 9 Abs. 1 AGB:</w:t>
      </w:r>
      <w:r>
        <w:t xml:space="preserve"> Vorausabtretung aller künftigen Forderungen ist im B2B-Bereich grundsätzlich zulässig und nicht per se unangemessen (BGH NJW 2002, 370). Keine Unwirksamkeit nach § 307 BGB.</w:t>
      </w:r>
    </w:p>
    <w:p>
      <w:pPr>
        <w:jc w:val="left"/>
      </w:pPr>
      <w:r>
        <w:rPr>
          <w:b/>
        </w:rPr>
        <w:t>Prüfung § 9 Abs. 3 AGB:</w:t>
      </w:r>
      <w:r>
        <w:t xml:space="preserve"> Falls nicht bereits über § 305c BGB ausgeschieden, benachteiligt eine Miteigentumsklausel an nicht-verwandten Gegenständen den Käufer unangemessen — verstoße gegen § 307 Abs. 1 S. 1 BGB.</w:t>
      </w:r>
    </w:p>
    <w:p/>
    <w:p>
      <w:pPr>
        <w:pStyle w:val="Heading2"/>
      </w:pPr>
      <w:r>
        <w:rPr>
          <w:rFonts w:ascii="Times New Roman" w:hAnsi="Times New Roman"/>
        </w:rPr>
        <w:t>III. Ergebnis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Klausel</w:t>
            </w:r>
          </w:p>
        </w:tc>
        <w:tc>
          <w:tcPr>
            <w:tcW w:type="dxa" w:w="2268"/>
          </w:tcPr>
          <w:p>
            <w:r>
              <w:rPr>
                <w:rFonts w:ascii="Times New Roman" w:hAnsi="Times New Roman"/>
                <w:b/>
                <w:sz w:val="20"/>
              </w:rPr>
              <w:t>§ 305c BGB</w:t>
            </w:r>
          </w:p>
        </w:tc>
        <w:tc>
          <w:tcPr>
            <w:tcW w:type="dxa" w:w="2268"/>
          </w:tcPr>
          <w:p>
            <w:r>
              <w:rPr>
                <w:rFonts w:ascii="Times New Roman" w:hAnsi="Times New Roman"/>
                <w:b/>
                <w:sz w:val="20"/>
              </w:rPr>
              <w:t>§ 307 BGB</w:t>
            </w:r>
          </w:p>
        </w:tc>
        <w:tc>
          <w:tcPr>
            <w:tcW w:type="dxa" w:w="2268"/>
          </w:tcPr>
          <w:p>
            <w:r>
              <w:rPr>
                <w:rFonts w:ascii="Times New Roman" w:hAnsi="Times New Roman"/>
                <w:b/>
                <w:sz w:val="20"/>
              </w:rPr>
              <w:t>Wirksam?</w:t>
            </w:r>
          </w:p>
        </w:tc>
      </w:tr>
      <w:tr>
        <w:tc>
          <w:tcPr>
            <w:tcW w:type="dxa" w:w="2268"/>
          </w:tcPr>
          <w:p>
            <w:r>
              <w:rPr>
                <w:rFonts w:ascii="Times New Roman" w:hAnsi="Times New Roman"/>
                <w:sz w:val="20"/>
              </w:rPr>
              <w:t>§ 9 Abs. 1 Vorausabtretung künftige Forderungen</w:t>
            </w:r>
          </w:p>
        </w:tc>
        <w:tc>
          <w:tcPr>
            <w:tcW w:type="dxa" w:w="2268"/>
          </w:tcPr>
          <w:p>
            <w:r>
              <w:rPr>
                <w:rFonts w:ascii="Times New Roman" w:hAnsi="Times New Roman"/>
                <w:sz w:val="20"/>
              </w:rPr>
              <w:t>Nein — kein Überraschungsmoment</w:t>
            </w:r>
          </w:p>
        </w:tc>
        <w:tc>
          <w:tcPr>
            <w:tcW w:type="dxa" w:w="2268"/>
          </w:tcPr>
          <w:p>
            <w:r>
              <w:rPr>
                <w:rFonts w:ascii="Times New Roman" w:hAnsi="Times New Roman"/>
                <w:sz w:val="20"/>
              </w:rPr>
              <w:t>Nein — zulässig B2B</w:t>
            </w:r>
          </w:p>
        </w:tc>
        <w:tc>
          <w:tcPr>
            <w:tcW w:type="dxa" w:w="2268"/>
          </w:tcPr>
          <w:p>
            <w:r>
              <w:rPr>
                <w:rFonts w:ascii="Times New Roman" w:hAnsi="Times New Roman"/>
                <w:sz w:val="20"/>
              </w:rPr>
              <w:t>Ja</w:t>
            </w:r>
          </w:p>
        </w:tc>
      </w:tr>
      <w:tr>
        <w:tc>
          <w:tcPr>
            <w:tcW w:type="dxa" w:w="2268"/>
          </w:tcPr>
          <w:p>
            <w:r>
              <w:rPr>
                <w:rFonts w:ascii="Times New Roman" w:hAnsi="Times New Roman"/>
                <w:sz w:val="20"/>
              </w:rPr>
              <w:t>§ 9 Abs. 3 Verarbeitungsklausel Miteigentum</w:t>
            </w:r>
          </w:p>
        </w:tc>
        <w:tc>
          <w:tcPr>
            <w:tcW w:type="dxa" w:w="2268"/>
          </w:tcPr>
          <w:p>
            <w:r>
              <w:rPr>
                <w:rFonts w:ascii="Times New Roman" w:hAnsi="Times New Roman"/>
                <w:sz w:val="20"/>
              </w:rPr>
              <w:t>Ja — Überraschungsmoment</w:t>
            </w:r>
          </w:p>
        </w:tc>
        <w:tc>
          <w:tcPr>
            <w:tcW w:type="dxa" w:w="2268"/>
          </w:tcPr>
          <w:p>
            <w:r>
              <w:rPr>
                <w:rFonts w:ascii="Times New Roman" w:hAnsi="Times New Roman"/>
                <w:sz w:val="20"/>
              </w:rPr>
              <w:t>Ja — unangemessen</w:t>
            </w:r>
          </w:p>
        </w:tc>
        <w:tc>
          <w:tcPr>
            <w:tcW w:type="dxa" w:w="2268"/>
          </w:tcPr>
          <w:p>
            <w:r>
              <w:rPr>
                <w:rFonts w:ascii="Times New Roman" w:hAnsi="Times New Roman"/>
                <w:sz w:val="20"/>
              </w:rPr>
              <w:t>Nein</w:t>
            </w:r>
          </w:p>
        </w:tc>
      </w:tr>
    </w:tbl>
    <w:p>
      <w:pPr>
        <w:jc w:val="left"/>
      </w:pPr>
      <w:r>
        <w:rPr>
          <w:b/>
        </w:rPr>
        <w:t>Konsequenz für OLG Dresden-Berufung:</w:t>
      </w:r>
      <w:r>
        <w:t xml:space="preserve"> § 9 Abs. 3 AGB (Miteigentumsklausel) ist nicht Vertragsbestandteil (§ 305c Abs. 1 BGB) bzw. unwirksam (§ 307 BGB). Convotherm kann kein Miteigentum an Neugeräten beanspruchen. Verlängerter EV (§ 9 Abs. 1) bleibt wirksam — Vorausabtretung bestehend.</w:t>
      </w:r>
    </w:p>
    <w:p>
      <w:pPr>
        <w:jc w:val="left"/>
      </w:pPr>
      <w:r>
        <w:rPr>
          <w:b/>
        </w:rPr>
        <w:t>Quellen:</w:t>
      </w:r>
    </w:p>
    <w:p>
      <w:pPr>
        <w:jc w:val="left"/>
      </w:pPr>
      <w:r>
        <w:t>§§ 305, 305c, 307, 310 BGB: https://dejure.org/gesetze/BGB/305c.html</w:t>
      </w:r>
    </w:p>
    <w:p>
      <w:pPr>
        <w:jc w:val="left"/>
      </w:pPr>
      <w:r>
        <w:t>BGH NJW 1992, 1232 (Überraschungsklausel, Prüfungsmaßstab): https://www.bundesgerichtshof.de</w:t>
      </w:r>
    </w:p>
    <w:p>
      <w:pPr>
        <w:jc w:val="left"/>
      </w:pPr>
      <w:r>
        <w:t>BGH NJW 2002, 370 (AGB B2B, Konzernvorbehalt): https://www.bundesgerichtshof.de</w:t>
      </w:r>
    </w:p>
    <w:p>
      <w:pPr>
        <w:jc w:val="left"/>
      </w:pPr>
      <w:r>
        <w:t>BGH NJW 2010, 1074 (Inhaltskontrolle Eigentumsvorbehalt B2B): https://openjur.de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Convotherm Elektrogeräte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Convotherm Elektrogeräte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