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Schadensersatz statt Leistung — §§ 280, 281 BGB: Mangelhafte Convotherm-Öfen</w:t>
      </w:r>
    </w:p>
    <w:p>
      <w:pPr>
        <w:jc w:val="left"/>
      </w:pPr>
      <w:r>
        <w:rPr>
          <w:b/>
        </w:rPr>
        <w:t>Bearbeiter:</w:t>
      </w:r>
      <w:r>
        <w:t xml:space="preserve"> RA Dr. Heinrich Schweizer-Loberg</w:t>
      </w:r>
    </w:p>
    <w:p>
      <w:pPr>
        <w:jc w:val="left"/>
      </w:pPr>
      <w:r>
        <w:rPr>
          <w:b/>
        </w:rPr>
        <w:t>Datum:</w:t>
      </w:r>
      <w:r>
        <w:t xml:space="preserve"> 14. April 2026</w:t>
      </w:r>
    </w:p>
    <w:p>
      <w:pPr>
        <w:jc w:val="left"/>
      </w:pPr>
      <w:r>
        <w:rPr>
          <w:b/>
        </w:rPr>
        <w:t>Bezug:</w:t>
      </w:r>
      <w:r>
        <w:t xml:space="preserve"> OLG Dresden 12 U 22/26 — Hilfsantrag Schadensersatz nach Lieferung mangelhafter Öfen</w:t>
      </w:r>
    </w:p>
    <w:p/>
    <w:p>
      <w:pPr>
        <w:pStyle w:val="Heading2"/>
      </w:pPr>
      <w:r>
        <w:rPr>
          <w:rFonts w:ascii="Times New Roman" w:hAnsi="Times New Roman"/>
        </w:rPr>
        <w:t>I. Sachverhalt</w:t>
      </w:r>
    </w:p>
    <w:p>
      <w:pPr>
        <w:jc w:val="left"/>
      </w:pPr>
      <w:r>
        <w:t>Von den 12 gelieferten Convotherm-Öfen OES 20.10 haben drei Geräte (Seriennummern CH-0044, CH-0045, CH-0048) nach ca. vier Wochen Betrieb Defekte aufgewiesen: Die Dampfsensor-Einheit fiel aus, was zu erheblichem Überdampf und damit zu Qualitätsproblemen bei der Speisenzubereitung führte. Convotherm hat auf Rüge (§ 377 HGB, Handelsgeschäft zwischen Unternehmern) zunächst eine Reparatur angeboten, die jedoch nicht vollständig erfolgreich war. Ein zweiter Reparaturversuch wurde abgelehnt, da die Geräte für die Restaurantküche kritisch sind.</w:t>
      </w:r>
    </w:p>
    <w:p>
      <w:pPr>
        <w:jc w:val="left"/>
      </w:pPr>
      <w:r>
        <w:t>Die GmbH begehrt Schadensersatz statt der Leistung und hält am Kaufvertrag im Übrigen fest (keine Minderung, keine Rücktritt).</w:t>
      </w:r>
    </w:p>
    <w:p/>
    <w:p>
      <w:pPr>
        <w:pStyle w:val="Heading2"/>
      </w:pPr>
      <w:r>
        <w:rPr>
          <w:rFonts w:ascii="Times New Roman" w:hAnsi="Times New Roman"/>
        </w:rPr>
        <w:t>II. Anspruchsgrundlage §§ 280 Abs. 1, Abs. 3, 281 BGB</w:t>
      </w:r>
    </w:p>
    <w:p>
      <w:pPr>
        <w:pStyle w:val="Heading3"/>
      </w:pPr>
      <w:r>
        <w:rPr>
          <w:rFonts w:ascii="Times New Roman" w:hAnsi="Times New Roman"/>
        </w:rPr>
        <w:t>Prüfungsschema §§ 280, 281 BGB</w:t>
      </w:r>
    </w:p>
    <w:p>
      <w:pPr>
        <w:jc w:val="left"/>
      </w:pPr>
      <w:r>
        <w:rPr>
          <w:b/>
        </w:rPr>
        <w:t>§ 280 Abs. 1 BGB:</w:t>
      </w:r>
    </w:p>
    <w:p>
      <w:pPr>
        <w:jc w:val="left"/>
      </w:pPr>
      <w:r>
        <w:t>„Verletzt der Schuldner eine Pflicht aus dem Schuldverhältnis, so kann der Gläubiger Ersatz des hierdurch entstehenden Schadens verlangen."</w:t>
      </w:r>
    </w:p>
    <w:p>
      <w:pPr>
        <w:jc w:val="left"/>
      </w:pPr>
      <w:r>
        <w:rPr>
          <w:b/>
        </w:rPr>
        <w:t>§ 280 Abs. 3 BGB:</w:t>
      </w:r>
    </w:p>
    <w:p>
      <w:pPr>
        <w:jc w:val="left"/>
      </w:pPr>
      <w:r>
        <w:t>Schadensersatz statt der Leistung (positives Interesse) nur unter den zusätzlichen Voraussetzungen des § 281 BGB.</w:t>
      </w:r>
    </w:p>
    <w:p>
      <w:pPr>
        <w:jc w:val="left"/>
      </w:pPr>
      <w:r>
        <w:rPr>
          <w:b/>
        </w:rPr>
        <w:t>§ 281 Abs. 1 BGB:</w:t>
      </w:r>
    </w:p>
    <w:p>
      <w:pPr>
        <w:jc w:val="left"/>
      </w:pPr>
      <w:r>
        <w:t>Schadensersatz statt der Leistung bei nicht oder nicht vertragsgemäß erbrachter Leistung, wenn der Gläubiger dem Schuldner erfolglos eine angemessene Frist zur Leistung/Nacherfüllung gesetzt hat.</w:t>
      </w:r>
    </w:p>
    <w:p/>
    <w:p>
      <w:pPr>
        <w:pStyle w:val="Heading2"/>
      </w:pPr>
      <w:r>
        <w:rPr>
          <w:rFonts w:ascii="Times New Roman" w:hAnsi="Times New Roman"/>
        </w:rPr>
        <w:t>III. Tatbestandsprüfung</w:t>
      </w:r>
    </w:p>
    <w:p>
      <w:pPr>
        <w:pStyle w:val="Heading3"/>
      </w:pPr>
      <w:r>
        <w:rPr>
          <w:rFonts w:ascii="Times New Roman" w:hAnsi="Times New Roman"/>
        </w:rPr>
        <w:t>A. Schuldverhältnis</w:t>
      </w:r>
    </w:p>
    <w:p>
      <w:pPr>
        <w:jc w:val="left"/>
      </w:pPr>
      <w:r>
        <w:t>Kaufvertrag GmbH–Convotherm: (+). Kaufvertrag als Schuldverhältnis i.S.v. § 241 BGB begründet Pflichten zur mangelfreien Leistung (§ 434 BGB i.V.m. § 433 Abs. 1 S. 2 BGB).</w:t>
      </w:r>
    </w:p>
    <w:p>
      <w:pPr>
        <w:pStyle w:val="Heading3"/>
      </w:pPr>
      <w:r>
        <w:rPr>
          <w:rFonts w:ascii="Times New Roman" w:hAnsi="Times New Roman"/>
        </w:rPr>
        <w:t>B. Pflichtverletzung</w:t>
      </w:r>
    </w:p>
    <w:p>
      <w:pPr>
        <w:jc w:val="left"/>
      </w:pPr>
      <w:r>
        <w:rPr>
          <w:b/>
        </w:rPr>
        <w:t>§ 434 BGB — Sachmangel:</w:t>
      </w:r>
      <w:r>
        <w:t xml:space="preserve"> Die Öfen weisen bei Gefahrübergang einen Sachmangel auf, wenn sie nicht die vertraglich vereinbarte Beschaffenheit haben oder sich nicht für die gewöhnliche Verwendung eignen.</w:t>
      </w:r>
    </w:p>
    <w:p>
      <w:pPr>
        <w:jc w:val="left"/>
      </w:pPr>
      <w:r>
        <w:rPr>
          <w:b/>
        </w:rPr>
        <w:t>Subsumtion:</w:t>
      </w:r>
      <w:r>
        <w:t xml:space="preserve"> Dampfsensor-Ausfall nach vier Wochen Normalbetrieb ist ein Sachmangel (§ 434 Abs. 1 S. 2 Nr. 2 BGB). Industrieöfen im Gastronomiebetrieb müssen für mindestens mehrere Jahre störungsfrei laufen; ein Ausfall nach vier Wochen begründet die Vermutung, dass der Mangel bereits bei Gefahrübergang vorhanden war (§ 477 BGB: Beweislastumkehr, gilt hier aber nur für Verbraucher; im B2B-Bereich keine Umkehr).</w:t>
      </w:r>
    </w:p>
    <w:p>
      <w:pPr>
        <w:jc w:val="left"/>
      </w:pPr>
      <w:r>
        <w:rPr>
          <w:b/>
        </w:rPr>
        <w:t>Beweislast B2B:</w:t>
      </w:r>
      <w:r>
        <w:t xml:space="preserve"> Im Unternehmerverkehr liegt die Beweislast für das Vorliegen des Mangels beim Käufer (GmbH). Hier: Gutachten eines unabhängigen Technikers belegt Fertigungsfehler am Dampfsensor (Zeuge: Dipl.-Ing. Stefan Krämer, TÜV Süd Leipzig, Gutachten 10.04.2026). Pflichtverletzung (+).</w:t>
      </w:r>
    </w:p>
    <w:p>
      <w:pPr>
        <w:pStyle w:val="Heading3"/>
      </w:pPr>
      <w:r>
        <w:rPr>
          <w:rFonts w:ascii="Times New Roman" w:hAnsi="Times New Roman"/>
        </w:rPr>
        <w:t>C. Vertretenmüssen (§ 276 BGB)</w:t>
      </w:r>
    </w:p>
    <w:p>
      <w:pPr>
        <w:jc w:val="left"/>
      </w:pPr>
      <w:r>
        <w:t>Der Schuldner hat Vorsatz und Fahrlässigkeit zu vertreten (§ 276 Abs. 1 BGB). Convotherm hat die Öfen mangelhaft produziert (Fertigungsfehler am Sensor) — dies belegt fahrlässiges Verhalten ihrer Qualitätssicherung. Entlastungsbeweis gemäß § 280 Abs. 1 S. 2 BGB durch Convotherm nicht geführt. (+)</w:t>
      </w:r>
    </w:p>
    <w:p>
      <w:pPr>
        <w:pStyle w:val="Heading3"/>
      </w:pPr>
      <w:r>
        <w:rPr>
          <w:rFonts w:ascii="Times New Roman" w:hAnsi="Times New Roman"/>
        </w:rPr>
        <w:t>D. Fristsetzung (§ 281 Abs. 1 BGB)</w:t>
      </w:r>
    </w:p>
    <w:p>
      <w:pPr>
        <w:jc w:val="left"/>
      </w:pPr>
      <w:r>
        <w:t>Die GmbH hat Convotherm mit Schreiben vom 15.03.2026 eine Frist zur Nacherfüllung bis 31.03.2026 gesetzt. Convotherm hat am 25.03.2026 einen Reparaturversuch unternommen, der nicht erfolgreich war. Eine Nacherfüllung ist damit (vorläufig) fehlgeschlagen oder ernsthaft verweigert (§ 281 Abs. 2 BGB). Frist entbehrlich bei endgültigem Fehlschlagen.</w:t>
      </w:r>
    </w:p>
    <w:p>
      <w:pPr>
        <w:jc w:val="left"/>
      </w:pPr>
      <w:r>
        <w:rPr>
          <w:b/>
        </w:rPr>
        <w:t>Ergebnis D:</w:t>
      </w:r>
      <w:r>
        <w:t xml:space="preserve"> Fristsetzungserfordernis erfüllt (+).</w:t>
      </w:r>
    </w:p>
    <w:p/>
    <w:p>
      <w:pPr>
        <w:pStyle w:val="Heading2"/>
      </w:pPr>
      <w:r>
        <w:rPr>
          <w:rFonts w:ascii="Times New Roman" w:hAnsi="Times New Roman"/>
        </w:rPr>
        <w:t>IV. Schadensberechnung</w:t>
      </w:r>
    </w:p>
    <w:p>
      <w:pPr>
        <w:pStyle w:val="Heading3"/>
      </w:pPr>
      <w:r>
        <w:rPr>
          <w:rFonts w:ascii="Times New Roman" w:hAnsi="Times New Roman"/>
        </w:rPr>
        <w:t>Schadensarten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Schadensposten</w:t>
            </w:r>
          </w:p>
        </w:tc>
        <w:tc>
          <w:tcPr>
            <w:tcW w:type="dxa" w:w="3024"/>
          </w:tcPr>
          <w:p>
            <w:r>
              <w:rPr>
                <w:rFonts w:ascii="Times New Roman" w:hAnsi="Times New Roman"/>
                <w:b/>
                <w:sz w:val="20"/>
              </w:rPr>
              <w:t>Berechnungsmethode</w:t>
            </w:r>
          </w:p>
        </w:tc>
        <w:tc>
          <w:tcPr>
            <w:tcW w:type="dxa" w:w="3024"/>
          </w:tcPr>
          <w:p>
            <w:r>
              <w:rPr>
                <w:rFonts w:ascii="Times New Roman" w:hAnsi="Times New Roman"/>
                <w:b/>
                <w:sz w:val="20"/>
              </w:rPr>
              <w:t>Betrag</w:t>
            </w:r>
          </w:p>
        </w:tc>
      </w:tr>
      <w:tr>
        <w:tc>
          <w:tcPr>
            <w:tcW w:type="dxa" w:w="3024"/>
          </w:tcPr>
          <w:p>
            <w:r>
              <w:rPr>
                <w:rFonts w:ascii="Times New Roman" w:hAnsi="Times New Roman"/>
                <w:sz w:val="20"/>
              </w:rPr>
              <w:t>Differenz mangelfreier/mangelhafter Wert (3 Öfen)</w:t>
            </w:r>
          </w:p>
        </w:tc>
        <w:tc>
          <w:tcPr>
            <w:tcW w:type="dxa" w:w="3024"/>
          </w:tcPr>
          <w:p>
            <w:r>
              <w:rPr>
                <w:rFonts w:ascii="Times New Roman" w:hAnsi="Times New Roman"/>
                <w:sz w:val="20"/>
              </w:rPr>
              <w:t>Sachverständigenwert mangelfreier OES 20.10 minus Restwert defekte Geräte</w:t>
            </w:r>
          </w:p>
        </w:tc>
        <w:tc>
          <w:tcPr>
            <w:tcW w:type="dxa" w:w="3024"/>
          </w:tcPr>
          <w:p>
            <w:r>
              <w:rPr>
                <w:rFonts w:ascii="Times New Roman" w:hAnsi="Times New Roman"/>
                <w:sz w:val="20"/>
              </w:rPr>
              <w:t>ca. 28.000 EUR</w:t>
            </w:r>
          </w:p>
        </w:tc>
      </w:tr>
      <w:tr>
        <w:tc>
          <w:tcPr>
            <w:tcW w:type="dxa" w:w="3024"/>
          </w:tcPr>
          <w:p>
            <w:r>
              <w:rPr>
                <w:rFonts w:ascii="Times New Roman" w:hAnsi="Times New Roman"/>
                <w:sz w:val="20"/>
              </w:rPr>
              <w:t>Betriebsunterbrechungsschaden (entgangener Gewinn §§ 280, 252 BGB)</w:t>
            </w:r>
          </w:p>
        </w:tc>
        <w:tc>
          <w:tcPr>
            <w:tcW w:type="dxa" w:w="3024"/>
          </w:tcPr>
          <w:p>
            <w:r>
              <w:rPr>
                <w:rFonts w:ascii="Times New Roman" w:hAnsi="Times New Roman"/>
                <w:sz w:val="20"/>
              </w:rPr>
              <w:t>Deckungsbeitrag Restaurantbetrieb pro Tag × Ausfalltage</w:t>
            </w:r>
          </w:p>
        </w:tc>
        <w:tc>
          <w:tcPr>
            <w:tcW w:type="dxa" w:w="3024"/>
          </w:tcPr>
          <w:p>
            <w:r>
              <w:rPr>
                <w:rFonts w:ascii="Times New Roman" w:hAnsi="Times New Roman"/>
                <w:sz w:val="20"/>
              </w:rPr>
              <w:t>ca. 14.400 EUR (18 Tage × 800 EUR/Tag)</w:t>
            </w:r>
          </w:p>
        </w:tc>
      </w:tr>
      <w:tr>
        <w:tc>
          <w:tcPr>
            <w:tcW w:type="dxa" w:w="3024"/>
          </w:tcPr>
          <w:p>
            <w:r>
              <w:rPr>
                <w:rFonts w:ascii="Times New Roman" w:hAnsi="Times New Roman"/>
                <w:sz w:val="20"/>
              </w:rPr>
              <w:t>Kosten Ersatzgeräte (Miete Interimgeräte)</w:t>
            </w:r>
          </w:p>
        </w:tc>
        <w:tc>
          <w:tcPr>
            <w:tcW w:type="dxa" w:w="3024"/>
          </w:tcPr>
          <w:p>
            <w:r>
              <w:rPr>
                <w:rFonts w:ascii="Times New Roman" w:hAnsi="Times New Roman"/>
                <w:sz w:val="20"/>
              </w:rPr>
              <w:t>Mietverträge vorliegend</w:t>
            </w:r>
          </w:p>
        </w:tc>
        <w:tc>
          <w:tcPr>
            <w:tcW w:type="dxa" w:w="3024"/>
          </w:tcPr>
          <w:p>
            <w:r>
              <w:rPr>
                <w:rFonts w:ascii="Times New Roman" w:hAnsi="Times New Roman"/>
                <w:sz w:val="20"/>
              </w:rPr>
              <w:t>ca. 3.800 EUR</w:t>
            </w:r>
          </w:p>
        </w:tc>
      </w:tr>
      <w:tr>
        <w:tc>
          <w:tcPr>
            <w:tcW w:type="dxa" w:w="3024"/>
          </w:tcPr>
          <w:p>
            <w:r>
              <w:rPr>
                <w:rFonts w:ascii="Times New Roman" w:hAnsi="Times New Roman"/>
                <w:sz w:val="20"/>
              </w:rPr>
              <w:t>Gutachtenkosten TÜV</w:t>
            </w:r>
          </w:p>
        </w:tc>
        <w:tc>
          <w:tcPr>
            <w:tcW w:type="dxa" w:w="3024"/>
          </w:tcPr>
          <w:p>
            <w:r>
              <w:rPr>
                <w:rFonts w:ascii="Times New Roman" w:hAnsi="Times New Roman"/>
                <w:sz w:val="20"/>
              </w:rPr>
              <w:t>Kostennoten</w:t>
            </w:r>
          </w:p>
        </w:tc>
        <w:tc>
          <w:tcPr>
            <w:tcW w:type="dxa" w:w="3024"/>
          </w:tcPr>
          <w:p>
            <w:r>
              <w:rPr>
                <w:rFonts w:ascii="Times New Roman" w:hAnsi="Times New Roman"/>
                <w:sz w:val="20"/>
              </w:rPr>
              <w:t>1.200 EUR</w:t>
            </w:r>
          </w:p>
        </w:tc>
      </w:tr>
      <w:tr>
        <w:tc>
          <w:tcPr>
            <w:tcW w:type="dxa" w:w="3024"/>
          </w:tcPr>
          <w:p>
            <w:r>
              <w:rPr>
                <w:rFonts w:ascii="Times New Roman" w:hAnsi="Times New Roman"/>
                <w:b/>
                <w:sz w:val="20"/>
              </w:rPr>
              <w:t>Gesamt</w:t>
            </w:r>
          </w:p>
        </w:tc>
        <w:tc>
          <w:tcPr>
            <w:tcW w:type="dxa" w:w="3024"/>
          </w:tcPr>
          <w:p/>
        </w:tc>
        <w:tc>
          <w:tcPr>
            <w:tcW w:type="dxa" w:w="3024"/>
          </w:tcPr>
          <w:p>
            <w:r>
              <w:rPr>
                <w:rFonts w:ascii="Times New Roman" w:hAnsi="Times New Roman"/>
                <w:b/>
                <w:sz w:val="20"/>
              </w:rPr>
              <w:t>ca. 47.400 EUR</w:t>
            </w:r>
          </w:p>
        </w:tc>
      </w:tr>
    </w:tbl>
    <w:p>
      <w:pPr>
        <w:pStyle w:val="Heading3"/>
      </w:pPr>
      <w:r>
        <w:rPr>
          <w:rFonts w:ascii="Times New Roman" w:hAnsi="Times New Roman"/>
        </w:rPr>
        <w:t>Anrechnung § 254 BGB (Mitverschulden)</w:t>
      </w:r>
    </w:p>
    <w:p>
      <w:pPr>
        <w:jc w:val="left"/>
      </w:pPr>
      <w:r>
        <w:t>Hat die GmbH durch zögerliche Reklamation oder ungeeignete Bedienung der Öfen zum Schaden beigetragen? Nach Aktenlage: Bedienungsfehler nicht nachgewiesen; Rüge innerhalb angemessener Frist (§ 377 HGB im Handelsverkehr beachtet). Kein Mitverschulden. (–)</w:t>
      </w:r>
    </w:p>
    <w:p/>
    <w:p>
      <w:pPr>
        <w:pStyle w:val="Heading2"/>
      </w:pPr>
      <w:r>
        <w:rPr>
          <w:rFonts w:ascii="Times New Roman" w:hAnsi="Times New Roman"/>
        </w:rPr>
        <w:t>V. Abgrenzung Rücktritt / Schadensersatz</w:t>
      </w:r>
    </w:p>
    <w:p>
      <w:pPr>
        <w:jc w:val="left"/>
      </w:pPr>
      <w:r>
        <w:t>Die GmbH wählt Schadensersatz statt der Leistung für die drei mangelhaften Öfen und hält am Kaufvertrag im Übrigen fest (9 Öfen sind mangelfrei). § 281 Abs. 1 S. 2 BGB erlaubt diese Teilgeltendmachung bei teilweise mangelhafter Leistung.</w:t>
      </w:r>
    </w:p>
    <w:p>
      <w:pPr>
        <w:jc w:val="left"/>
      </w:pPr>
      <w:r>
        <w:rPr>
          <w:b/>
        </w:rPr>
        <w:t>Alternative Rücktritt §§ 440, 323 BGB:</w:t>
      </w:r>
      <w:r>
        <w:t xml:space="preserve"> Wäre möglich, aber ungünstiger für GmbH: Rücktritt würde Rückabwicklung aller 12 Öfen erfordern (§ 323 Abs. 5 BGB: Teilrücktritt nur bei Teilbarkeit). Schadensersatz statt Leistung für die drei Öfen ist vorzugswürdig.</w:t>
      </w:r>
    </w:p>
    <w:p/>
    <w:p>
      <w:pPr>
        <w:pStyle w:val="Heading2"/>
      </w:pPr>
      <w:r>
        <w:rPr>
          <w:rFonts w:ascii="Times New Roman" w:hAnsi="Times New Roman"/>
        </w:rPr>
        <w:t>VI. Ergebnis</w:t>
      </w:r>
    </w:p>
    <w:p>
      <w:pPr>
        <w:jc w:val="left"/>
      </w:pPr>
      <w:r>
        <w:t xml:space="preserve">Die GmbH hat gegen Convotherm einen Anspruch auf Schadensersatz statt der Leistung aus §§ 280 Abs. 1, Abs. 3, 281 BGB in Höhe von ca. </w:t>
      </w:r>
      <w:r>
        <w:rPr>
          <w:b/>
        </w:rPr>
        <w:t>47.400 EUR</w:t>
      </w:r>
      <w:r>
        <w:t>. Im OLG-Verfahren ist dieser Betrag als Widerklage geltend zu machen, hilfsweise als Aufrechnung gegenüber dem Restkaufpreisanspruch von Convotherm (44.000 EUR).</w:t>
      </w:r>
    </w:p>
    <w:p>
      <w:pPr>
        <w:jc w:val="left"/>
      </w:pPr>
      <w:r>
        <w:rPr>
          <w:b/>
        </w:rPr>
        <w:t>Prozessuale Empfehlung:</w:t>
      </w:r>
      <w:r>
        <w:t xml:space="preserve"> Aufrechnung (§ 387 BGB) erklären — Schadensersatzforderung (47.400 EUR) gegen Restkaufpreis (44.000 EUR) — ergibt Saldo zugunsten GmbH: ca. 3.400 EUR.</w:t>
      </w:r>
    </w:p>
    <w:p>
      <w:pPr>
        <w:jc w:val="left"/>
      </w:pPr>
      <w:r>
        <w:rPr>
          <w:b/>
        </w:rPr>
        <w:t>Quellen:</w:t>
      </w:r>
    </w:p>
    <w:p>
      <w:pPr>
        <w:jc w:val="left"/>
      </w:pPr>
      <w:r>
        <w:t>§§ 280, 281 BGB: https://dejure.org/gesetze/BGB/280.html</w:t>
      </w:r>
    </w:p>
    <w:p>
      <w:pPr>
        <w:jc w:val="left"/>
      </w:pPr>
      <w:r>
        <w:t>§§ 434, 437, 440 BGB: https://dejure.org/gesetze/BGB/434.html</w:t>
      </w:r>
    </w:p>
    <w:p>
      <w:pPr>
        <w:jc w:val="left"/>
      </w:pPr>
      <w:r>
        <w:t>BGH NJW 2009, 2674 (Fristsetzung § 281, Fehlschlagen Nacherfüllung): https://www.bundesgerichtshof.de</w:t>
      </w:r>
    </w:p>
    <w:p>
      <w:pPr>
        <w:jc w:val="left"/>
      </w:pPr>
      <w:r>
        <w:t>BGH NJW 2007, 835 (Schadensermittlung bei Sachmangel, B2B): https://openjur.de</w:t>
      </w:r>
    </w:p>
    <w:p>
      <w:pPr>
        <w:jc w:val="left"/>
      </w:pPr>
      <w:r>
        <w:t>§ 377 HGB: https://dejure.org/gesetze/HGB/377.html</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Die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4"/>
      </w:rPr>
      <w:t>Die GmbH</w:t>
    </w:r>
  </w:p>
  <w:p>
    <w:pPr>
      <w:jc w:val="left"/>
      <w:pBdr>
        <w:bottom w:val="single" w:sz="6" w:space="2" w:color="11555F"/>
      </w:pBdr>
    </w:pPr>
    <w:r>
      <w:rPr>
        <w:rFonts w:ascii="Times New Roman" w:hAnsi="Times New Roman"/>
        <w:color w:val="6B6B66"/>
        <w:sz w:val="16"/>
      </w:rPr>
      <w:t>keine Rücktritt). · 12 U 22/26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