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Mandatsannahme und erste Bestandsaufnahme Anlagensituation</w:t>
      </w:r>
    </w:p>
    <w:p>
      <w:pPr>
        <w:jc w:val="left"/>
      </w:pPr>
      <w:r>
        <w:t>Datum: 14. Januar 2026</w:t>
      </w:r>
    </w:p>
    <w:p>
      <w:pPr>
        <w:jc w:val="left"/>
      </w:pPr>
      <w:r>
        <w:t>Bearbeiter: RA Dr. Bertram Söhnchen LL.M. (Fachanwalt für Bau- und Architektenrecht)</w:t>
      </w:r>
    </w:p>
    <w:p>
      <w:pPr>
        <w:jc w:val="left"/>
      </w:pPr>
      <w:r>
        <w:t>Kanzlei: Söhnchen &amp; Partner Rechtsanwälte mbB, Theaterstraße 22, 52062 Aachen</w:t>
      </w:r>
    </w:p>
    <w:p>
      <w:pPr>
        <w:jc w:val="left"/>
      </w:pPr>
      <w:r>
        <w:t>Mandant: Werkmann Bau- und Anlagentechnik GmbH, Industriestraße 44, 52499 Baesweiler</w:t>
      </w:r>
    </w:p>
    <w:p>
      <w:pPr>
        <w:jc w:val="left"/>
      </w:pPr>
      <w:r>
        <w:t>Vertreten durch: Geschäftsführer Dipl.-Ing. Rainer Werkmann</w:t>
      </w:r>
    </w:p>
    <w:p/>
    <w:p>
      <w:pPr>
        <w:pStyle w:val="Heading2"/>
      </w:pPr>
      <w:r>
        <w:rPr>
          <w:rFonts w:ascii="Times New Roman" w:hAnsi="Times New Roman"/>
        </w:rPr>
        <w:t>Zur Mandatsannahme</w:t>
      </w:r>
    </w:p>
    <w:p>
      <w:pPr>
        <w:jc w:val="left"/>
      </w:pPr>
      <w:r>
        <w:t>Dipl.-Ing. Rainer Werkmann erscheint am 14.01.2026 mit zwei Mitarbeitern der kaufmännischen Leitung sowie dem technischen Projektleiter Dipl.-Ing. Klaus Hofferberth. Er trägt zwei Ordner mit ausgedruckten Unterlagen sowie einen USB-Stick mit der Aufschrift „Lackieranlage Eschweiler — Gesamtdokumentation". Die Stimmung ist angespannt; Werkmann ist erkennbar erschöpft von monatelangen erfolglosen Verhandlungen mit der Gegenseite.</w:t>
      </w:r>
    </w:p>
    <w:p>
      <w:pPr>
        <w:jc w:val="left"/>
      </w:pPr>
      <w:r>
        <w:t>Die Werkmann Bau- und Anlagentechnik GmbH ist ein mittelständisches Unternehmen mit Sitz in Baesweiler bei Aachen, 87 Beschäftigte, Jahresnettoumsatz zuletzt ca. 28 Mio. EUR. Das Unternehmen ist spezialisiert auf Stahl- und Anlagenbau, Rohrleitungssysteme und Lackieranlagen für die Automobilzulieferindustrie. Das Unternehmen arbeitet seit über 15 Jahren als Nachunternehmer im Rheinland, vorwiegend für Generalunternehmer aus dem Bereich Industriebau.</w:t>
      </w:r>
    </w:p>
    <w:p/>
    <w:p>
      <w:pPr>
        <w:pStyle w:val="Heading2"/>
      </w:pPr>
      <w:r>
        <w:rPr>
          <w:rFonts w:ascii="Times New Roman" w:hAnsi="Times New Roman"/>
        </w:rPr>
        <w:t>Sachverhalt</w:t>
      </w:r>
    </w:p>
    <w:p>
      <w:pPr>
        <w:pStyle w:val="Heading3"/>
      </w:pPr>
      <w:r>
        <w:rPr>
          <w:rFonts w:ascii="Times New Roman" w:hAnsi="Times New Roman"/>
        </w:rPr>
        <w:t>Auftragsverhältnis</w:t>
      </w:r>
    </w:p>
    <w:p>
      <w:pPr>
        <w:jc w:val="left"/>
      </w:pPr>
      <w:r>
        <w:t>Die Werkmann GmbH wurde im März 2024 von der K+B Industriebau AG, Roermonder Straße 155, 52072 Aachen (im Folgenden: K+B), als Nachunternehmer zur Errichtung einer vollautomatischen Lackieranlage für Karosseriekomponenten im neu zu errichtenden Karosserie-Werk der Autoform GmbH &amp; Co. KG in Eschweiler (Industriepark Nothberg, Nothberg 55, 52249 Eschweiler) beauftragt.</w:t>
      </w:r>
    </w:p>
    <w:p>
      <w:pPr>
        <w:jc w:val="left"/>
      </w:pPr>
      <w:r>
        <w:t>Vertragsgrundlage: Nachunternehmervertrag vom 12.03.2024, AZ intern NU-2024-047-KB, auf Basis VOB/B (2019). Vereinbarter Pauschalpreis netto: 7.850.000 EUR. Ausführungszeitraum: April 2024 bis Oktober 2024. Abnabmedatum vertraglich: 31.10.2024.</w:t>
      </w:r>
    </w:p>
    <w:p>
      <w:pPr>
        <w:pStyle w:val="Heading3"/>
      </w:pPr>
      <w:r>
        <w:rPr>
          <w:rFonts w:ascii="Times New Roman" w:hAnsi="Times New Roman"/>
        </w:rPr>
        <w:t>Bauausführung und Abnahmesituation</w:t>
      </w:r>
    </w:p>
    <w:p>
      <w:pPr>
        <w:jc w:val="left"/>
      </w:pPr>
      <w:r>
        <w:t>Die Lackieranlage wurde fristgemäß fertiggestellt und am 04.11.2024 durch förmliche Abnahme nach § 12 VOB/B abgenommen (Abnahmeprotokoll vom 04.11.2024, Anlage K3). Während der Abnahmeverhandlung wurden 23 Mängel protokolliert, von denen 21 als geringfügig eingestuft wurden (Mangelbeseitigung bis 30.11.2024 vereinbart). Die verbleibenden 2 Mängel (Farbnebel-Absauganlage und Steuerungssoftware Modul 7C) waren zum Zeitpunkt der Abnahme noch nicht behoben.</w:t>
      </w:r>
    </w:p>
    <w:p>
      <w:pPr>
        <w:pStyle w:val="Heading3"/>
      </w:pPr>
      <w:r>
        <w:rPr>
          <w:rFonts w:ascii="Times New Roman" w:hAnsi="Times New Roman"/>
        </w:rPr>
        <w:t>Werklohnforderung</w:t>
      </w:r>
    </w:p>
    <w:p>
      <w:pPr>
        <w:jc w:val="left"/>
      </w:pPr>
      <w:r>
        <w:t>Die Werkmann GmbH stellte am 18.11.2024 die Schlussrechnung (Anlage K5). Rechnungsbetrag netto: 10.250.000 EUR. Die Differenz zum vereinbarten Pauschalpreis von 7.850.000 EUR — mithin 2.400.000 EUR netto — beruht auf Nachtragsleistungen, die nach Angabe der Werkmann GmbH auf Anordnung der K+B AG sowie aufgrund von Planänderungen des Bauherrn im laufenden Betrieb erbracht wurden.</w:t>
      </w:r>
    </w:p>
    <w:p>
      <w:pPr>
        <w:jc w:val="left"/>
      </w:pPr>
      <w:r>
        <w:t>Anspruchsgrundlagen nach Einschätzung der Mandantin:</w:t>
      </w:r>
    </w:p>
    <w:p>
      <w:pPr>
        <w:pStyle w:val="ListBullet"/>
      </w:pPr>
      <w:r>
        <w:t>§ 631 BGB (Werklohn für vertraglich vereinbarte und erbrachte Leistungen)</w:t>
      </w:r>
    </w:p>
    <w:p>
      <w:pPr>
        <w:pStyle w:val="ListBullet"/>
      </w:pPr>
      <w:r>
        <w:t>§ 2 Abs. 3 VOB/B (Mehrvergütung bei mengenmäßiger Überschreitung) — hierzu sind 47 Nachtragspositionen zu belegen</w:t>
      </w:r>
    </w:p>
    <w:p>
      <w:pPr>
        <w:pStyle w:val="ListBullet"/>
      </w:pPr>
      <w:r>
        <w:t>§ 8 Abs. 2 VOB/B i.V.m. § 642 BGB (Mehrkostenabrechnung bei erschwerter Ausführung durch Sphäre des Auftraggebers)</w:t>
      </w:r>
    </w:p>
    <w:p>
      <w:pPr>
        <w:jc w:val="left"/>
      </w:pPr>
      <w:r>
        <w:t>K+B hat mit Schreiben vom 15.12.2024 lediglich 7.990.000 EUR anerkannt und überwiesen (Zahlungsnachweis Anlage K8). Offene Forderung: 2.260.000 EUR netto (zzgl. MwSt.). Hinzu kommen Zinsen seit Fälligkeit sowie außergerichtliche Anwaltskosten. Werkmann begehrt im Ergebnis 2.400.000 EUR Hauptforderung netto.</w:t>
      </w:r>
    </w:p>
    <w:p/>
    <w:p>
      <w:pPr>
        <w:pStyle w:val="Heading2"/>
      </w:pPr>
      <w:r>
        <w:rPr>
          <w:rFonts w:ascii="Times New Roman" w:hAnsi="Times New Roman"/>
        </w:rPr>
        <w:t>Erste Bestandsaufnahme Anlagensituation</w:t>
      </w:r>
    </w:p>
    <w:p>
      <w:pPr>
        <w:jc w:val="left"/>
      </w:pPr>
      <w:r>
        <w:t>Das Hauptproblem dieses Mandats tritt unmittelbar zutage: Das Anlagenkonvolut, das zur Begründung der Nachtragsansprüche eingereicht werden muss, ist außerordentlich umfangreich. Hofferberth übergibt eine erste Aufstellung: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Anlagetyp</w:t>
            </w:r>
          </w:p>
        </w:tc>
        <w:tc>
          <w:tcPr>
            <w:tcW w:type="dxa" w:w="4536"/>
          </w:tcPr>
          <w:p>
            <w:r>
              <w:rPr>
                <w:rFonts w:ascii="Times New Roman" w:hAnsi="Times New Roman"/>
                <w:b/>
                <w:sz w:val="20"/>
              </w:rPr>
              <w:t>Anzahl (geschätzt)</w:t>
            </w:r>
          </w:p>
        </w:tc>
      </w:tr>
      <w:tr>
        <w:tc>
          <w:tcPr>
            <w:tcW w:type="dxa" w:w="4536"/>
          </w:tcPr>
          <w:p>
            <w:r>
              <w:rPr>
                <w:rFonts w:ascii="Times New Roman" w:hAnsi="Times New Roman"/>
                <w:sz w:val="20"/>
              </w:rPr>
              <w:t>CAD-Pläne (DWG/PDF)</w:t>
            </w:r>
          </w:p>
        </w:tc>
        <w:tc>
          <w:tcPr>
            <w:tcW w:type="dxa" w:w="4536"/>
          </w:tcPr>
          <w:p>
            <w:r>
              <w:rPr>
                <w:rFonts w:ascii="Times New Roman" w:hAnsi="Times New Roman"/>
                <w:sz w:val="20"/>
              </w:rPr>
              <w:t>842</w:t>
            </w:r>
          </w:p>
        </w:tc>
      </w:tr>
      <w:tr>
        <w:tc>
          <w:tcPr>
            <w:tcW w:type="dxa" w:w="4536"/>
          </w:tcPr>
          <w:p>
            <w:r>
              <w:rPr>
                <w:rFonts w:ascii="Times New Roman" w:hAnsi="Times New Roman"/>
                <w:sz w:val="20"/>
              </w:rPr>
              <w:t>Bautagebuchauszüge</w:t>
            </w:r>
          </w:p>
        </w:tc>
        <w:tc>
          <w:tcPr>
            <w:tcW w:type="dxa" w:w="4536"/>
          </w:tcPr>
          <w:p>
            <w:r>
              <w:rPr>
                <w:rFonts w:ascii="Times New Roman" w:hAnsi="Times New Roman"/>
                <w:sz w:val="20"/>
              </w:rPr>
              <w:t>214</w:t>
            </w:r>
          </w:p>
        </w:tc>
      </w:tr>
      <w:tr>
        <w:tc>
          <w:tcPr>
            <w:tcW w:type="dxa" w:w="4536"/>
          </w:tcPr>
          <w:p>
            <w:r>
              <w:rPr>
                <w:rFonts w:ascii="Times New Roman" w:hAnsi="Times New Roman"/>
                <w:sz w:val="20"/>
              </w:rPr>
              <w:t>Aufmaßprotokolle</w:t>
            </w:r>
          </w:p>
        </w:tc>
        <w:tc>
          <w:tcPr>
            <w:tcW w:type="dxa" w:w="4536"/>
          </w:tcPr>
          <w:p>
            <w:r>
              <w:rPr>
                <w:rFonts w:ascii="Times New Roman" w:hAnsi="Times New Roman"/>
                <w:sz w:val="20"/>
              </w:rPr>
              <w:t>387</w:t>
            </w:r>
          </w:p>
        </w:tc>
      </w:tr>
      <w:tr>
        <w:tc>
          <w:tcPr>
            <w:tcW w:type="dxa" w:w="4536"/>
          </w:tcPr>
          <w:p>
            <w:r>
              <w:rPr>
                <w:rFonts w:ascii="Times New Roman" w:hAnsi="Times New Roman"/>
                <w:sz w:val="20"/>
              </w:rPr>
              <w:t>Lieferscheine</w:t>
            </w:r>
          </w:p>
        </w:tc>
        <w:tc>
          <w:tcPr>
            <w:tcW w:type="dxa" w:w="4536"/>
          </w:tcPr>
          <w:p>
            <w:r>
              <w:rPr>
                <w:rFonts w:ascii="Times New Roman" w:hAnsi="Times New Roman"/>
                <w:sz w:val="20"/>
              </w:rPr>
              <w:t>923</w:t>
            </w:r>
          </w:p>
        </w:tc>
      </w:tr>
      <w:tr>
        <w:tc>
          <w:tcPr>
            <w:tcW w:type="dxa" w:w="4536"/>
          </w:tcPr>
          <w:p>
            <w:r>
              <w:rPr>
                <w:rFonts w:ascii="Times New Roman" w:hAnsi="Times New Roman"/>
                <w:sz w:val="20"/>
              </w:rPr>
              <w:t>Wiegescheine</w:t>
            </w:r>
          </w:p>
        </w:tc>
        <w:tc>
          <w:tcPr>
            <w:tcW w:type="dxa" w:w="4536"/>
          </w:tcPr>
          <w:p>
            <w:r>
              <w:rPr>
                <w:rFonts w:ascii="Times New Roman" w:hAnsi="Times New Roman"/>
                <w:sz w:val="20"/>
              </w:rPr>
              <w:t>312</w:t>
            </w:r>
          </w:p>
        </w:tc>
      </w:tr>
      <w:tr>
        <w:tc>
          <w:tcPr>
            <w:tcW w:type="dxa" w:w="4536"/>
          </w:tcPr>
          <w:p>
            <w:r>
              <w:rPr>
                <w:rFonts w:ascii="Times New Roman" w:hAnsi="Times New Roman"/>
                <w:sz w:val="20"/>
              </w:rPr>
              <w:t>Schweißnahtprotokolle (inkl. WPS/PQR)</w:t>
            </w:r>
          </w:p>
        </w:tc>
        <w:tc>
          <w:tcPr>
            <w:tcW w:type="dxa" w:w="4536"/>
          </w:tcPr>
          <w:p>
            <w:r>
              <w:rPr>
                <w:rFonts w:ascii="Times New Roman" w:hAnsi="Times New Roman"/>
                <w:sz w:val="20"/>
              </w:rPr>
              <w:t>441</w:t>
            </w:r>
          </w:p>
        </w:tc>
      </w:tr>
      <w:tr>
        <w:tc>
          <w:tcPr>
            <w:tcW w:type="dxa" w:w="4536"/>
          </w:tcPr>
          <w:p>
            <w:r>
              <w:rPr>
                <w:rFonts w:ascii="Times New Roman" w:hAnsi="Times New Roman"/>
                <w:sz w:val="20"/>
              </w:rPr>
              <w:t>FAT-Reports (Factory Acceptance Tests)</w:t>
            </w:r>
          </w:p>
        </w:tc>
        <w:tc>
          <w:tcPr>
            <w:tcW w:type="dxa" w:w="4536"/>
          </w:tcPr>
          <w:p>
            <w:r>
              <w:rPr>
                <w:rFonts w:ascii="Times New Roman" w:hAnsi="Times New Roman"/>
                <w:sz w:val="20"/>
              </w:rPr>
              <w:t>29</w:t>
            </w:r>
          </w:p>
        </w:tc>
      </w:tr>
      <w:tr>
        <w:tc>
          <w:tcPr>
            <w:tcW w:type="dxa" w:w="4536"/>
          </w:tcPr>
          <w:p>
            <w:r>
              <w:rPr>
                <w:rFonts w:ascii="Times New Roman" w:hAnsi="Times New Roman"/>
                <w:sz w:val="20"/>
              </w:rPr>
              <w:t>SAT-Reports (Site Acceptance Tests)</w:t>
            </w:r>
          </w:p>
        </w:tc>
        <w:tc>
          <w:tcPr>
            <w:tcW w:type="dxa" w:w="4536"/>
          </w:tcPr>
          <w:p>
            <w:r>
              <w:rPr>
                <w:rFonts w:ascii="Times New Roman" w:hAnsi="Times New Roman"/>
                <w:sz w:val="20"/>
              </w:rPr>
              <w:t>18</w:t>
            </w:r>
          </w:p>
        </w:tc>
      </w:tr>
      <w:tr>
        <w:tc>
          <w:tcPr>
            <w:tcW w:type="dxa" w:w="4536"/>
          </w:tcPr>
          <w:p>
            <w:r>
              <w:rPr>
                <w:rFonts w:ascii="Times New Roman" w:hAnsi="Times New Roman"/>
                <w:sz w:val="20"/>
              </w:rPr>
              <w:t>Zollpapiere (Italien, China)</w:t>
            </w:r>
          </w:p>
        </w:tc>
        <w:tc>
          <w:tcPr>
            <w:tcW w:type="dxa" w:w="4536"/>
          </w:tcPr>
          <w:p>
            <w:r>
              <w:rPr>
                <w:rFonts w:ascii="Times New Roman" w:hAnsi="Times New Roman"/>
                <w:sz w:val="20"/>
              </w:rPr>
              <w:t>198</w:t>
            </w:r>
          </w:p>
        </w:tc>
      </w:tr>
      <w:tr>
        <w:tc>
          <w:tcPr>
            <w:tcW w:type="dxa" w:w="4536"/>
          </w:tcPr>
          <w:p>
            <w:r>
              <w:rPr>
                <w:rFonts w:ascii="Times New Roman" w:hAnsi="Times New Roman"/>
                <w:sz w:val="20"/>
              </w:rPr>
              <w:t>Konformitätserklärungen (CE)</w:t>
            </w:r>
          </w:p>
        </w:tc>
        <w:tc>
          <w:tcPr>
            <w:tcW w:type="dxa" w:w="4536"/>
          </w:tcPr>
          <w:p>
            <w:r>
              <w:rPr>
                <w:rFonts w:ascii="Times New Roman" w:hAnsi="Times New Roman"/>
                <w:sz w:val="20"/>
              </w:rPr>
              <w:t>83</w:t>
            </w:r>
          </w:p>
        </w:tc>
      </w:tr>
      <w:tr>
        <w:tc>
          <w:tcPr>
            <w:tcW w:type="dxa" w:w="4536"/>
          </w:tcPr>
          <w:p>
            <w:r>
              <w:rPr>
                <w:rFonts w:ascii="Times New Roman" w:hAnsi="Times New Roman"/>
                <w:sz w:val="20"/>
              </w:rPr>
              <w:t>Sicherheitsdatenblätter</w:t>
            </w:r>
          </w:p>
        </w:tc>
        <w:tc>
          <w:tcPr>
            <w:tcW w:type="dxa" w:w="4536"/>
          </w:tcPr>
          <w:p>
            <w:r>
              <w:rPr>
                <w:rFonts w:ascii="Times New Roman" w:hAnsi="Times New Roman"/>
                <w:sz w:val="20"/>
              </w:rPr>
              <w:t>247</w:t>
            </w:r>
          </w:p>
        </w:tc>
      </w:tr>
      <w:tr>
        <w:tc>
          <w:tcPr>
            <w:tcW w:type="dxa" w:w="4536"/>
          </w:tcPr>
          <w:p>
            <w:r>
              <w:rPr>
                <w:rFonts w:ascii="Times New Roman" w:hAnsi="Times New Roman"/>
                <w:sz w:val="20"/>
              </w:rPr>
              <w:t>Sonstiges (Fotos, E-Mails, interne Vermerke)</w:t>
            </w:r>
          </w:p>
        </w:tc>
        <w:tc>
          <w:tcPr>
            <w:tcW w:type="dxa" w:w="4536"/>
          </w:tcPr>
          <w:p>
            <w:r>
              <w:rPr>
                <w:rFonts w:ascii="Times New Roman" w:hAnsi="Times New Roman"/>
                <w:sz w:val="20"/>
              </w:rPr>
              <w:t>153</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3.847</w:t>
            </w:r>
          </w:p>
        </w:tc>
      </w:tr>
    </w:tbl>
    <w:p>
      <w:pPr>
        <w:jc w:val="left"/>
      </w:pPr>
      <w:r>
        <w:t>Diese Anzahl macht eine einfache Anlageauflistung unmöglich. Der Mandant erwartet, dass die Kanzlei ein strukturiertes Anlagenkonvolut erstellt, das dem LG Aachen die Prüfung der Ansprüche ermöglicht, ohne das Gericht zu überfordern.</w:t>
      </w:r>
    </w:p>
    <w:p/>
    <w:p>
      <w:pPr>
        <w:pStyle w:val="Heading2"/>
      </w:pPr>
      <w:r>
        <w:rPr>
          <w:rFonts w:ascii="Times New Roman" w:hAnsi="Times New Roman"/>
        </w:rPr>
        <w:t>Verfahrenslandschaft (Erstüberblick)</w:t>
      </w:r>
    </w:p>
    <w:p>
      <w:pPr>
        <w:jc w:val="left"/>
      </w:pPr>
      <w:r>
        <w:t>Parallel zu der erst anzustrengenden Klage beim LG Aachen (Az. noch offen — bekannt geworden: Az. 11 O 188/26 für den geplanten Klagetermin) existieren bereits zwei weitere Verfahrensstränge:</w:t>
      </w:r>
    </w:p>
    <w:p>
      <w:pPr>
        <w:pStyle w:val="ListNumber"/>
      </w:pPr>
      <w:r>
        <w:rPr>
          <w:b/>
        </w:rPr>
        <w:t>OLG Berufungsverfahren 14 U 22/26</w:t>
      </w:r>
      <w:r>
        <w:t>: K+B hatte in einem Parallelstreit (Verzugsschäden aus der Bauphase, LG Aachen erste Instanz) Berufung eingelegt. Werkmann ist dort Berufungsbeklagter. Die Anlagestruktur aus diesem Verfahren ist teilweise inkompatibel mit der Anlagestruktur des LG-Verfahrens (unterschiedliche Nummerierungsschemata B1 ff. vs. K1 ff.).</w:t>
      </w:r>
    </w:p>
    <w:p>
      <w:pPr>
        <w:pStyle w:val="ListNumber"/>
      </w:pPr>
      <w:r>
        <w:rPr>
          <w:b/>
        </w:rPr>
        <w:t>Schiedsgericht DIS Frankfurt, Az. DIS-SV-2026/088</w:t>
      </w:r>
      <w:r>
        <w:t>: Ein eigenständiger Schiedsvertrag (Schiedsklausel in § 18 des Nachunternehmervertrags) ist noch wirksam — dies ist von der Kanzlei zu überprüfen. K+B hat bereits eine Schiedsklage wegen behaupteter Mängel eingereicht; Werkmann wird Widerklage erheben.</w:t>
      </w:r>
    </w:p>
    <w:p/>
    <w:p>
      <w:pPr>
        <w:pStyle w:val="Heading2"/>
      </w:pPr>
      <w:r>
        <w:rPr>
          <w:rFonts w:ascii="Times New Roman" w:hAnsi="Times New Roman"/>
        </w:rPr>
        <w:t>Mandatsumfang (vorläufig)</w:t>
      </w:r>
    </w:p>
    <w:p>
      <w:pPr>
        <w:pStyle w:val="ListBullet"/>
      </w:pPr>
      <w:r>
        <w:t>Strukturierung und Einreichung des Anlagenkonvoluts für LG Aachen (11 O 188/26)</w:t>
      </w:r>
    </w:p>
    <w:p>
      <w:pPr>
        <w:pStyle w:val="ListBullet"/>
      </w:pPr>
      <w:r>
        <w:t>Koordination mit OLG-Anlagenstand (14 U 22/26)</w:t>
      </w:r>
    </w:p>
    <w:p>
      <w:pPr>
        <w:pStyle w:val="ListBullet"/>
      </w:pPr>
      <w:r>
        <w:t>Vorbereitung Schiedsgerichtsschriftsatz DIS (DIS-SV-2026/088)</w:t>
      </w:r>
    </w:p>
    <w:p>
      <w:pPr>
        <w:pStyle w:val="ListBullet"/>
      </w:pPr>
      <w:r>
        <w:t>Anlage-K17-Zwischenfall klären (dazu gesondertes Aktenstück 04)</w:t>
      </w:r>
    </w:p>
    <w:p>
      <w:pPr>
        <w:pStyle w:val="ListBullet"/>
      </w:pPr>
      <w:r>
        <w:t>Beratung zu beA-Übertragungsproblemen (dazu Aktenstück 05)</w:t>
      </w:r>
    </w:p>
    <w:p>
      <w:pPr>
        <w:jc w:val="left"/>
      </w:pPr>
      <w:r>
        <w:t>Vollmacht erteilt, Mandatsbestätigungsschreiben geht morgen heraus. Kostenvereinbarung: Stundensatz 380 EUR zzgl. MwSt. (RA Dr. Söhnchen), 220 EUR zzgl. MwSt. (wiss. Mitarbeiterin Stang). Erstvorschuss 15.000 EUR angefordert.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Söhnchen &amp; Partner Rechtsanwälte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SÖHNCHEN &amp; PARTNER RECHTSANWÄLTE MBB</w:t>
    </w:r>
  </w:p>
  <w:p>
    <w:pPr>
      <w:jc w:val="left"/>
      <w:pBdr>
        <w:bottom w:val="single" w:sz="8" w:space="2" w:color="2C5230"/>
      </w:pBdr>
    </w:pPr>
    <w:r>
      <w:rPr>
        <w:rFonts w:ascii="Times New Roman" w:hAnsi="Times New Roman"/>
        <w:color w:val="6B6B66"/>
        <w:sz w:val="16"/>
      </w:rPr>
      <w:t>Theaterstraße 22, 52062 Aachen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