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Schlichtungsentscheid der AÄK Niedersachsen — Mai 2025</w:t>
      </w:r>
    </w:p>
    <w:p>
      <w:pPr>
        <w:jc w:val="left"/>
      </w:pPr>
      <w:r>
        <w:t>Gutachter- und Schlichtungsstelle für ärztliche Behandlungen</w:t>
      </w:r>
    </w:p>
    <w:p>
      <w:pPr>
        <w:jc w:val="left"/>
      </w:pPr>
      <w:r>
        <w:t>bei der Ärztekammer Niedersachsen</w:t>
      </w:r>
    </w:p>
    <w:p>
      <w:pPr>
        <w:jc w:val="left"/>
      </w:pPr>
      <w:r>
        <w:t>Hannover, 05. Mai 2025</w:t>
      </w:r>
    </w:p>
    <w:p>
      <w:pPr>
        <w:jc w:val="left"/>
      </w:pPr>
      <w:r>
        <w:t>Aktenzeichen: GS-2024-3817-NI</w:t>
      </w:r>
    </w:p>
    <w:p>
      <w:pPr>
        <w:jc w:val="left"/>
      </w:pPr>
      <w:r>
        <w:t>Antragstellerin: Lina Meinhardt, vertr. durch RAin Christina Wachhorst</w:t>
      </w:r>
    </w:p>
    <w:p>
      <w:pPr>
        <w:jc w:val="left"/>
      </w:pPr>
      <w:r>
        <w:t>Beschwerdegegner zu 1): Evangelisches Klinikum Bad Salzdetfurth gGmbH</w:t>
      </w:r>
    </w:p>
    <w:p>
      <w:pPr>
        <w:jc w:val="left"/>
      </w:pPr>
      <w:r>
        <w:t>Beschwerdegegner zu 2): Dr. Almut Voth</w:t>
      </w:r>
    </w:p>
    <w:p>
      <w:pPr>
        <w:jc w:val="left"/>
      </w:pPr>
      <w:r>
        <w:t>Beschwerdegegner zu 3): Beleghebamme Margit Sander</w:t>
      </w:r>
    </w:p>
    <w:p>
      <w:pPr>
        <w:jc w:val="left"/>
      </w:pPr>
      <w:r>
        <w:t>(Prof. Dr. Weingärtner wurde im Verfahren mangels nachgewiesener persönlicher Diensteinteilung in der fraglichen Nacht aus dem Verfahren ausgeschieden; seine haftungsrechtliche Relevanz bleibt außergerichtlich offen.)</w:t>
      </w:r>
    </w:p>
    <w:p/>
    <w:p>
      <w:pPr>
        <w:pStyle w:val="Heading2"/>
      </w:pPr>
      <w:r>
        <w:rPr>
          <w:rFonts w:ascii="Times New Roman" w:hAnsi="Times New Roman"/>
        </w:rPr>
        <w:t>I. Verfahrensverlauf</w:t>
      </w:r>
    </w:p>
    <w:p>
      <w:pPr>
        <w:jc w:val="left"/>
      </w:pPr>
      <w:r>
        <w:t>Antrag eingegangen: 07. Oktober 2024</w:t>
      </w:r>
    </w:p>
    <w:p>
      <w:pPr>
        <w:jc w:val="left"/>
      </w:pPr>
      <w:r>
        <w:t>Unterlagen Beschwerdegegner eingegangen (vollständige Patientenakte, Stellungnahmen): 19. Dezember 2024</w:t>
      </w:r>
    </w:p>
    <w:p>
      <w:pPr>
        <w:jc w:val="left"/>
      </w:pPr>
      <w:r>
        <w:t>Gutachtenauftrag erteilt an: Prof. Dr. med. [M.-G.], Fachärztin für Frauenheilkunde und Geburtshilfe, Universitätsklinikum [anonymisiert], und Herrn Dr. med. [P.-R.], Neonatologe/Neuropädiater, Kinderklinik [anonymisiert]</w:t>
      </w:r>
    </w:p>
    <w:p>
      <w:pPr>
        <w:jc w:val="left"/>
      </w:pPr>
      <w:r>
        <w:t>Gutachten eingegangen: 14. März 2025</w:t>
      </w:r>
    </w:p>
    <w:p>
      <w:pPr>
        <w:jc w:val="left"/>
      </w:pPr>
      <w:r>
        <w:t>Stellungnahmen der Beteiligten: März/April 2025</w:t>
      </w:r>
    </w:p>
    <w:p>
      <w:pPr>
        <w:jc w:val="left"/>
      </w:pPr>
      <w:r>
        <w:t>Entscheid: 05. Mai 2025</w:t>
      </w:r>
    </w:p>
    <w:p/>
    <w:p>
      <w:pPr>
        <w:pStyle w:val="Heading2"/>
      </w:pPr>
      <w:r>
        <w:rPr>
          <w:rFonts w:ascii="Times New Roman" w:hAnsi="Times New Roman"/>
        </w:rPr>
        <w:t>II. Sachverhalt (Kurzdarstellung des Spruchs)</w:t>
      </w:r>
    </w:p>
    <w:p>
      <w:pPr>
        <w:jc w:val="left"/>
      </w:pPr>
      <w:r>
        <w:t>Die Kommission verweist auf den vollständigen Sachverhalt im beigefügten Gutachten (Aktenstück 08). Im Hinblick auf die rechtliche Beurteilung legt die Schlichtungsstelle folgendes zugrunde:</w:t>
      </w:r>
    </w:p>
    <w:p>
      <w:pPr>
        <w:jc w:val="left"/>
      </w:pPr>
      <w:r>
        <w:t>Die Antragstellerin wurde in einer Nacht mit fortschreitendem Geburtsgeschehen und zunehmend pathologischem CTG-Befund über mehr als 90 Minuten nicht durch eine Ärztin oder einen Arzt aufgesucht und nicht über Behandlungsoptionen aufgeklärt. Eine Mikroblutuntersuchung wurde nicht durchgeführt. Die Schichtübergabe um 01:12 Uhr enthielt nach dem schriftlichen Befund der Akte keine Angaben zum CTG-Status.</w:t>
      </w:r>
    </w:p>
    <w:p/>
    <w:p>
      <w:pPr>
        <w:pStyle w:val="Heading2"/>
      </w:pPr>
      <w:r>
        <w:rPr>
          <w:rFonts w:ascii="Times New Roman" w:hAnsi="Times New Roman"/>
        </w:rPr>
        <w:t>III. Feststellungen der Schlichtungsstelle</w:t>
      </w:r>
    </w:p>
    <w:p>
      <w:pPr>
        <w:jc w:val="left"/>
      </w:pPr>
      <w:r>
        <w:rPr>
          <w:b/>
        </w:rPr>
        <w:t>1. Behandlungsfehler:</w:t>
      </w:r>
      <w:r>
        <w:t xml:space="preserve"> Die Schlichtungsstelle stellt fest, dass nach dem Ergebnis des medizinischen Gutachtens (Prof. Dr. M.-G.) mit überwiegender Wahrscheinlichkeit ein Behandlungsfehler vorliegt. Spätestens ab 23:30 Uhr lag ein pathologisches CTG-Muster vor, das nach dem ärztlichen Facharztstandard eine Reaktion — Mikroblutuntersuchung oder Sectio-Indikationsüberprüfung — erfordert hätte. Diese Reaktion ist nicht dokumentiert und nach Aussagenlage auch faktisch nicht erfolgt.</w:t>
      </w:r>
    </w:p>
    <w:p>
      <w:pPr>
        <w:jc w:val="left"/>
      </w:pPr>
      <w:r>
        <w:t>Die Schichtübergabe wird als nicht leitliniengerecht bewertet. Der Schlichtungsstelle ist bewusst, dass eine unvollständige Schichtübergabe nur schwer beweisbar ist; die unzureichende schriftliche Dokumentation geht jedoch zu Lasten des Beschwerdegegners zu 1) nach §  630h Abs. 1 BGB.</w:t>
      </w:r>
    </w:p>
    <w:p>
      <w:pPr>
        <w:jc w:val="left"/>
      </w:pPr>
      <w:r>
        <w:t>Die fehlende Aufklärung über Sectio-Optionen während des pathologischen CTG-Verlaufs stellt nach Einschätzung der Schlichtungsstelle einen Aufklärungsmangel im Sinne von § 630e BGB dar.</w:t>
      </w:r>
    </w:p>
    <w:p>
      <w:pPr>
        <w:jc w:val="left"/>
      </w:pPr>
      <w:r>
        <w:rPr>
          <w:b/>
        </w:rPr>
        <w:t>2. Kausalität:</w:t>
      </w:r>
      <w:r>
        <w:t xml:space="preserve"> Die Kausalitätsfrage ist schwieriger zu beurteilen. Die Sachverständigen kommen übereinstimmend zu dem Ergebnis, dass eine frühere Sectio mit einiger Wahrscheinlichkeit zu einem besseren neurologischen Outcome geführt hätte. Eine gesicherte Feststellung, dass der vollständige Hirnschaden bei einer Sectio um 01:30 Uhr verhindert worden wäre, kann das Gutachten aber nicht mit voller Sicherheit treffen. Die Schlichtungsstelle formuliert: „Die Kausalität des festgestellten Behandlungsfehlers für den dokumentierten Gesundheitsschaden von Helene Meinhardt ist überwiegend wahrscheinlich, aber nicht vollständig im Sinne des Vollbeweises gesichert. Für eine gerichtliche Haftungsfeststellung empfehlen die Gutachter ein speziell beauftragtes gerichtliches Sachverständigengutachten."</w:t>
      </w:r>
    </w:p>
    <w:p>
      <w:pPr>
        <w:jc w:val="left"/>
      </w:pPr>
      <w:r>
        <w:rPr>
          <w:b/>
        </w:rPr>
        <w:t>3. Fehlende CTG-Dokumentation:</w:t>
      </w:r>
      <w:r>
        <w:t xml:space="preserve"> Das Gutachten vermerkt das Fehlen des CTG-Bogens 5 ausdrücklich als Anomalie. Die Schlichtungsstelle hält fest, dass eine vollständige Erklärung durch den Beschwerdegegner nicht vorliegt.</w:t>
      </w:r>
    </w:p>
    <w:p/>
    <w:p>
      <w:pPr>
        <w:pStyle w:val="Heading2"/>
      </w:pPr>
      <w:r>
        <w:rPr>
          <w:rFonts w:ascii="Times New Roman" w:hAnsi="Times New Roman"/>
        </w:rPr>
        <w:t>IV. Schlichtungsvorschlag</w:t>
      </w:r>
    </w:p>
    <w:p>
      <w:pPr>
        <w:jc w:val="left"/>
      </w:pPr>
      <w:r>
        <w:t>Die Schlichtungsstelle schlägt vor:</w:t>
      </w:r>
    </w:p>
    <w:p>
      <w:pPr>
        <w:jc w:val="left"/>
      </w:pPr>
      <w:r>
        <w:t>a) Die Beschwerdegegner zu 1) und 2) erkennen eine Behandlungspflichtverletzung an.</w:t>
      </w:r>
    </w:p>
    <w:p>
      <w:pPr>
        <w:jc w:val="left"/>
      </w:pPr>
      <w:r>
        <w:t>b) Als Ausgleich für immaterielle und materielle Schäden (Schmerzensgeld Mutter, Schmerzensgeld Helene, Pflegemehraufwand) wird ein Betrag von EUR 180.000,-- als Abfindung vorgeschlagen.</w:t>
      </w:r>
    </w:p>
    <w:p>
      <w:pPr>
        <w:jc w:val="left"/>
      </w:pPr>
      <w:r>
        <w:t>c) Dieser Betrag versteht sich als Vollabrechnungsabfindung ohne Berücksichtigung künftiger Pflegekosten. Die Schlichtungsstelle weist darauf hin, dass der vorgeschlagene Betrag unter dem liegt, was bei einer gerichtlichen Klärung möglicherweise zugesprochen würde; er soll den Aufwand eines Prozesses abgelten.</w:t>
      </w:r>
    </w:p>
    <w:p/>
    <w:p>
      <w:pPr>
        <w:pStyle w:val="Heading2"/>
      </w:pPr>
      <w:r>
        <w:rPr>
          <w:rFonts w:ascii="Times New Roman" w:hAnsi="Times New Roman"/>
        </w:rPr>
        <w:t>V. Reaktion der Beteiligten</w:t>
      </w:r>
    </w:p>
    <w:p>
      <w:pPr>
        <w:jc w:val="left"/>
      </w:pPr>
      <w:r>
        <w:rPr>
          <w:b/>
        </w:rPr>
        <w:t>Klinik / Beschwerdegegner zu 1):</w:t>
      </w:r>
      <w:r>
        <w:t xml:space="preserve"> Mit Schreiben vom 14. Mai 2025 (AS 09, Anlage) teilt der Justiziar Dr. Tobias Wendelborg mit, die Klinik akzeptiere den Schlichtungsvorschlag nicht. Begründung: Die Kausalitätsfrage sei nicht hinreichend geklärt; der vorgeschlagene Betrag sei trotzdem unverhältnismäßig hoch. Die Klinik werde das Verfahren im Übrigen an ihren Haftpflichtversicherer (AssekuranzAlpha AG) abgeben.</w:t>
      </w:r>
    </w:p>
    <w:p>
      <w:pPr>
        <w:jc w:val="left"/>
      </w:pPr>
      <w:r>
        <w:rPr>
          <w:b/>
        </w:rPr>
        <w:t>Dr. Almut Voth / Beschwerdegegner zu 2):</w:t>
      </w:r>
      <w:r>
        <w:t xml:space="preserve"> Keine eigenständige Stellungnahme; schließt sich der Klinikposition an (durch Kanzlei Wendelborg mitvertreten).</w:t>
      </w:r>
    </w:p>
    <w:p>
      <w:pPr>
        <w:jc w:val="left"/>
      </w:pPr>
      <w:r>
        <w:rPr>
          <w:b/>
        </w:rPr>
        <w:t>Antragstellerin:</w:t>
      </w:r>
      <w:r>
        <w:t xml:space="preserve"> RAin Wachhorst erklärt mit Schreiben 20. Mai 2025 (intern, nicht der Klinik übersandt), dass der Vorschlag für die Mandantin nicht akzeptabel ist; die wahren Schadensposten liegen im Bereich 350.000–600.000 EUR und mehr, sobald Pflegekosten bis zur Volljährigkeit Helenes einbezogen werden. Der Weg zur Klage wird eingeschlagen.</w:t>
      </w:r>
    </w:p>
    <w:p/>
    <w:p>
      <w:pPr>
        <w:pStyle w:val="Heading2"/>
      </w:pPr>
      <w:r>
        <w:rPr>
          <w:rFonts w:ascii="Times New Roman" w:hAnsi="Times New Roman"/>
        </w:rPr>
        <w:t>VI. Interne Bewertung (Wachhorst, 22.05.2025)</w:t>
      </w:r>
    </w:p>
    <w:p>
      <w:pPr>
        <w:jc w:val="left"/>
      </w:pPr>
      <w:r>
        <w:t>Der Schlichtungsentscheid ist für den Prozess nützlich: Er bestätigt den Behandlungsfehler mit überwiegender Wahrscheinlichkeit und gibt dem Gericht ein Sachverständigenvotum an die Hand, ohne dass die Klinik sich dem entziehen kann. Die Kausalitätslücke ist zu schließen — das wird Aufgabe des gerichtlichen Sachverständigengutachtens sein. Die Klinik hat den Vorschlag abgelehnt; damit entfällt die Obliegenheit der Mandantin, sich mit einem Vergleich zu begnügen.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Evangelisches Klinikum Bad Salzdetfurth gGmbH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Evangelisches Klinikum Bad Salzdetfurth gGmbH</w:t>
    </w:r>
  </w:p>
  <w:p>
    <w:pPr>
      <w:jc w:val="left"/>
      <w:pBdr>
        <w:bottom w:val="single" w:sz="6" w:space="2" w:color="8A6A1F"/>
      </w:pBdr>
    </w:pPr>
    <w:r>
      <w:rPr>
        <w:rFonts w:ascii="Times New Roman" w:hAnsi="Times New Roman"/>
        <w:color w:val="6B6B66"/>
        <w:sz w:val="16"/>
      </w:rPr>
      <w:t>Unternehmen · Aktenzeichen: GS-2024-3817-NI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