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Kassenarztrecht — GKV-Schnittstelle Helene Meinhardt</w:t>
      </w:r>
    </w:p>
    <w:p>
      <w:pPr>
        <w:jc w:val="left"/>
      </w:pPr>
      <w:r>
        <w:t>Bearbeitung: RA Dr. Jonas Reuss, Klotzkette Rechtsanwaltsgesellschaft mbH</w:t>
      </w:r>
    </w:p>
    <w:p>
      <w:pPr>
        <w:jc w:val="left"/>
      </w:pPr>
      <w:r>
        <w:t>Stand: Juni 2025</w:t>
      </w:r>
    </w:p>
    <w:p/>
    <w:p>
      <w:pPr>
        <w:pStyle w:val="Heading2"/>
      </w:pPr>
      <w:r>
        <w:rPr>
          <w:rFonts w:ascii="Times New Roman" w:hAnsi="Times New Roman"/>
        </w:rPr>
        <w:t>1. Behandelnde Ärzte und Einrichtungen</w:t>
      </w:r>
    </w:p>
    <w:p>
      <w:pPr>
        <w:jc w:val="left"/>
      </w:pPr>
      <w:r>
        <w:rPr>
          <w:b/>
        </w:rPr>
        <w:t>Pädiaterin niedergelassen:</w:t>
      </w:r>
      <w:r>
        <w:t xml:space="preserve"> Dr. Martina Elbgard, Kinderärztin, Praxis Hildesheim-Mitte (Kassenärztin, KV Niedersachsen BSNR anonymisiert). Quartalsweise Vorsorgeuntersuchungen, Verordnungen Physiotherapie.</w:t>
      </w:r>
    </w:p>
    <w:p>
      <w:pPr>
        <w:jc w:val="left"/>
      </w:pPr>
      <w:r>
        <w:rPr>
          <w:b/>
        </w:rPr>
        <w:t>Sozialpädiatrisches Zentrum (SPZ):</w:t>
      </w:r>
      <w:r>
        <w:t xml:space="preserve"> SPZ Hannover gGmbH, Pädiatrie und Neuropädiatrie, Ärztliche Leitung Prof. Dr. Ute Waldmann. Helene ist dort seit Oktober 2024 in Behandlung. SPZ-Kontakt: regelmäßige Kontrolltermine, interdisziplinäres Team (Neuropädiatrie, Ergotherapie, Physiotherapie, Logopädie).</w:t>
      </w:r>
    </w:p>
    <w:p>
      <w:pPr>
        <w:jc w:val="left"/>
      </w:pPr>
      <w:r>
        <w:rPr>
          <w:b/>
        </w:rPr>
        <w:t>Neuropädiatrie:</w:t>
      </w:r>
      <w:r>
        <w:t xml:space="preserve"> Dr. Stefan Brinkmann, SPZ Hannover, Behandlungsverantwortlicher.</w:t>
      </w:r>
    </w:p>
    <w:p/>
    <w:p>
      <w:pPr>
        <w:pStyle w:val="Heading2"/>
      </w:pPr>
      <w:r>
        <w:rPr>
          <w:rFonts w:ascii="Times New Roman" w:hAnsi="Times New Roman"/>
        </w:rPr>
        <w:t>2. Verordnungen und Genehmigungsstreit Hippotherapie</w:t>
      </w:r>
    </w:p>
    <w:p>
      <w:pPr>
        <w:pStyle w:val="Heading3"/>
      </w:pPr>
      <w:r>
        <w:rPr>
          <w:rFonts w:ascii="Times New Roman" w:hAnsi="Times New Roman"/>
        </w:rPr>
        <w:t>Verordnung</w:t>
      </w:r>
    </w:p>
    <w:p>
      <w:pPr>
        <w:jc w:val="left"/>
      </w:pPr>
      <w:r>
        <w:t>Dr. Elbgard stellte am 15. November 2024 eine Verordnung für Hippotherapie (Heilmittelverordnung Muster 18) aus. Begründung: Förderung der Körperwahrnehmung und Rumpfstabilisierung bei spastischer Diplegie. Anbieter: Reittherapiezentrum Weser-Leine gGmbH, Pattensen (15 km von Hildesheim).</w:t>
      </w:r>
    </w:p>
    <w:p>
      <w:pPr>
        <w:pStyle w:val="Heading3"/>
      </w:pPr>
      <w:r>
        <w:rPr>
          <w:rFonts w:ascii="Times New Roman" w:hAnsi="Times New Roman"/>
        </w:rPr>
        <w:t>GKV-Ablehnung (AOK Niedersachsen)</w:t>
      </w:r>
    </w:p>
    <w:p>
      <w:pPr>
        <w:jc w:val="left"/>
      </w:pPr>
      <w:r>
        <w:t>Die AOK Niedersachsen lehnte die Kostenübernahme mit Bescheid vom 08. Dezember 2024 ab. Begründung: Hippotherapie sei kein anerkanntes Heilmittel im Sinne der Heilmittel-Richtlinie (HeilM-RL). Das therapeutische Reiten sei im Heilmittelkatalog nicht als erstattungsfähig gelistet.</w:t>
      </w:r>
    </w:p>
    <w:p>
      <w:pPr>
        <w:pStyle w:val="Heading3"/>
      </w:pPr>
      <w:r>
        <w:rPr>
          <w:rFonts w:ascii="Times New Roman" w:hAnsi="Times New Roman"/>
        </w:rPr>
        <w:t>Widerspruch (Dr. Reuss, 10. Januar 2025)</w:t>
      </w:r>
    </w:p>
    <w:p>
      <w:pPr>
        <w:jc w:val="left"/>
      </w:pPr>
      <w:r>
        <w:t>Widerspruch stützt sich auf:</w:t>
      </w:r>
    </w:p>
    <w:p>
      <w:pPr>
        <w:pStyle w:val="ListBullet"/>
      </w:pPr>
      <w:r>
        <w:t>§ 92 SGB V Richtlinien-Verbindlichkeit: Die HeilM-RL schließt Hippotherapie nicht explizit aus; sie führt sie nicht auf, was nicht gleichbedeutend mit Ausschluss ist.</w:t>
      </w:r>
    </w:p>
    <w:p>
      <w:pPr>
        <w:pStyle w:val="ListBullet"/>
      </w:pPr>
      <w:r>
        <w:t>BSG 03.07.2012, B 1 KR 22/11 R: GKV darf nicht-gelistete Leistungen ablehnen, wenn diese dem Wirtschaftlichkeitsgebot widersprechen — es bedarf aber einer inhaltlichen Prüfung.</w:t>
      </w:r>
    </w:p>
    <w:p>
      <w:pPr>
        <w:pStyle w:val="ListBullet"/>
      </w:pPr>
      <w:r>
        <w:t>Einschlägige Literatur (DGS-Leitlinie ICP, AWMF-Register 022-023, 2020): Therapeutisches Reiten / Hippotherapie ist bei ICP als ergänzende Therapieoption mit Evidenzgrad B klassifiziert.</w:t>
      </w:r>
    </w:p>
    <w:p>
      <w:pPr>
        <w:pStyle w:val="ListBullet"/>
      </w:pPr>
      <w:r>
        <w:t>Ärztliche Stellungnahme Dr. Brinkmann (SPZ Hannover, 05. Januar 2025): „Bei dem vorliegenden Schweregrad ICP GMFCS V und der bestehenden Rumpfinstabilität erscheint Hippotherapie als geeignetes, ergänzendes Therapiemittel, das klassische Physiotherapie nicht ersetzen, aber sinnvoll ergänzen kann."</w:t>
      </w:r>
    </w:p>
    <w:p>
      <w:pPr>
        <w:jc w:val="left"/>
      </w:pPr>
      <w:r>
        <w:rPr>
          <w:b/>
        </w:rPr>
        <w:t>Status:</w:t>
      </w:r>
      <w:r>
        <w:t xml:space="preserve"> Widerspruch liegt vor, Widerspruchsbescheid ausstehend (Stand Juni 2025, über 5 Monate). RA Dr. Reuss hat mit Schreiben vom 10. Juni 2025 auf Untätigkeit hingewiesen und Bescheidung innerhalb von 4 Wochen gefordert, anderenfalls Untätigkeitsklage (§ 88 SGG).</w:t>
      </w:r>
    </w:p>
    <w:p/>
    <w:p>
      <w:pPr>
        <w:pStyle w:val="Heading2"/>
      </w:pPr>
      <w:r>
        <w:rPr>
          <w:rFonts w:ascii="Times New Roman" w:hAnsi="Times New Roman"/>
        </w:rPr>
        <w:t>3. Botulinumtoxin-Genehmigung</w:t>
      </w:r>
    </w:p>
    <w:p>
      <w:pPr>
        <w:pStyle w:val="Heading3"/>
      </w:pPr>
      <w:r>
        <w:rPr>
          <w:rFonts w:ascii="Times New Roman" w:hAnsi="Times New Roman"/>
        </w:rPr>
        <w:t>Verordnung</w:t>
      </w:r>
    </w:p>
    <w:p>
      <w:pPr>
        <w:jc w:val="left"/>
      </w:pPr>
      <w:r>
        <w:t>Dr. Brinkmann (SPZ) verordnete am 20. Januar 2025 die Behandlung der spastischen Hypertonie an beiden Armen mit Botulinumtoxin A (Handelsname Botox, Allergan). Indikation: Spastik der Armextremitäten bei ICP, um Kontrakturen zu verhindern und Pflege zu erleichtern.</w:t>
      </w:r>
    </w:p>
    <w:p>
      <w:pPr>
        <w:jc w:val="left"/>
      </w:pPr>
      <w:r>
        <w:t>Botulinumtoxin A ist für Spastik bei Kindern ab 2 Jahren im Rahmen der AWMF-Leitlinie Spastikherapie (ICP) anerkannt; für die vorliegende Körperregion (obere Extremitäten) und Altersgruppe (&lt; 2 Jahre) besteht eine Off-Label-Situation, da die Zulassung auf die untere Extremität und Alter &gt; 2 Jahre beschränkt ist.</w:t>
      </w:r>
    </w:p>
    <w:p>
      <w:pPr>
        <w:pStyle w:val="Heading3"/>
      </w:pPr>
      <w:r>
        <w:rPr>
          <w:rFonts w:ascii="Times New Roman" w:hAnsi="Times New Roman"/>
        </w:rPr>
        <w:t>GKV-Reaktion (AOK Niedersachsen)</w:t>
      </w:r>
    </w:p>
    <w:p>
      <w:pPr>
        <w:jc w:val="left"/>
      </w:pPr>
      <w:r>
        <w:t>AOK Niedersachsen forderte MD-Gutachten an (§ 275 SGB V). MD-Stellungnahme vom 05. Februar 2025: „Botulinumtoxin A für die oberen Extremitäten bei einem Kind unter 2 Jahren ist Off-Label. Eine Kostenübernahme ist nur möglich, wenn die Voraussetzungen des Off-Label-Use nach BSG-Rechtsprechung erfüllt sind. Die vorliegende Datenlage für die obere Extremität bei Kleinkindern unter 2 Jahren ist nach Einschätzung des MD nicht ausreichend."</w:t>
      </w:r>
    </w:p>
    <w:p>
      <w:pPr>
        <w:jc w:val="left"/>
      </w:pPr>
      <w:r>
        <w:t>Genehmigung abgelehnt: 14. Februar 2025.</w:t>
      </w:r>
    </w:p>
    <w:p>
      <w:pPr>
        <w:pStyle w:val="Heading3"/>
      </w:pPr>
      <w:r>
        <w:rPr>
          <w:rFonts w:ascii="Times New Roman" w:hAnsi="Times New Roman"/>
        </w:rPr>
        <w:t>Widerspruch (Dr. Reuss, 28. Februar 2025)</w:t>
      </w:r>
    </w:p>
    <w:p>
      <w:pPr>
        <w:jc w:val="left"/>
      </w:pPr>
      <w:r>
        <w:t>Der Widerspruch argumentiert: SPZ Hannover führt die Behandlung routinemäßig durch; Consensus-Statement der Deutschen Gesellschaft für Neuropädiatrie (DGNP, 2022) empfiehlt Botulinumtoxin für obere Extremitäten bei ICP auch unter 2 Jahren; die internationale Leitlinie NICE CG 145 (2012/2022) benennt Botulinumtoxin als Standardtherapie. Die Altersgrenze in der deutschen Zulassung spiegele einen regulatorischen, keinen klinischen Sachverhalt wider.</w:t>
      </w:r>
    </w:p>
    <w:p>
      <w:pPr>
        <w:jc w:val="left"/>
      </w:pPr>
      <w:r>
        <w:t>Widerspruchsbescheid: Kasse hat am 20. April 2025 den Widerspruch zurückgewiesen. Botulinumtoxin könne nicht zu Lasten der GKV verordnet werden.</w:t>
      </w:r>
    </w:p>
    <w:p>
      <w:pPr>
        <w:jc w:val="left"/>
      </w:pPr>
      <w:r>
        <w:rPr>
          <w:b/>
        </w:rPr>
        <w:t>Status:</w:t>
      </w:r>
      <w:r>
        <w:t xml:space="preserve"> Klage Sozialgericht Hannover wurde am 15. Mai 2025 eingereicht (RA Dr. Reuss, Az. intern S-2025-SG-HAN-0112). Behandlung wird vom SPZ als IGeL-Selbstzahlerleistung durchgeführt (EUR 480/Anwendung, quartalsweise), Eigenanteil Mandantin.</w:t>
      </w:r>
    </w:p>
    <w:p/>
    <w:p>
      <w:pPr>
        <w:pStyle w:val="Heading2"/>
      </w:pPr>
      <w:r>
        <w:rPr>
          <w:rFonts w:ascii="Times New Roman" w:hAnsi="Times New Roman"/>
        </w:rPr>
        <w:t>4. KV-Abrechnung SPZ</w:t>
      </w:r>
    </w:p>
    <w:p>
      <w:pPr>
        <w:jc w:val="left"/>
      </w:pPr>
      <w:r>
        <w:t>Das SPZ rechnet Leistungen nach EBM-Nummern ab. Einige SPZ-Leistungen (z.B. interdisziplinäre Fallkonferenz, spezielle Videometrie) wurden von der KV Niedersachsen zunächst nicht anerkannt. Nach Rücksprache mit dem SPZ wurde dies im laufenden Quartal nachbeschieden. Kein akuter Handlungsbedarf für die Kanzlei.</w:t>
      </w:r>
    </w:p>
    <w:p/>
    <w:p>
      <w:pPr>
        <w:pStyle w:val="Heading2"/>
      </w:pPr>
      <w:r>
        <w:rPr>
          <w:rFonts w:ascii="Times New Roman" w:hAnsi="Times New Roman"/>
        </w:rPr>
        <w:t>5. Übersicht GKV-Streitigkeiten</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Leistung</w:t>
            </w:r>
          </w:p>
        </w:tc>
        <w:tc>
          <w:tcPr>
            <w:tcW w:type="dxa" w:w="3024"/>
          </w:tcPr>
          <w:p>
            <w:r>
              <w:rPr>
                <w:rFonts w:ascii="Times New Roman" w:hAnsi="Times New Roman"/>
                <w:b/>
                <w:sz w:val="20"/>
              </w:rPr>
              <w:t>Instanz</w:t>
            </w:r>
          </w:p>
        </w:tc>
        <w:tc>
          <w:tcPr>
            <w:tcW w:type="dxa" w:w="3024"/>
          </w:tcPr>
          <w:p>
            <w:r>
              <w:rPr>
                <w:rFonts w:ascii="Times New Roman" w:hAnsi="Times New Roman"/>
                <w:b/>
                <w:sz w:val="20"/>
              </w:rPr>
              <w:t>Status</w:t>
            </w:r>
          </w:p>
        </w:tc>
      </w:tr>
      <w:tr>
        <w:tc>
          <w:tcPr>
            <w:tcW w:type="dxa" w:w="3024"/>
          </w:tcPr>
          <w:p>
            <w:r>
              <w:rPr>
                <w:rFonts w:ascii="Times New Roman" w:hAnsi="Times New Roman"/>
                <w:sz w:val="20"/>
              </w:rPr>
              <w:t>Hippotherapie</w:t>
            </w:r>
          </w:p>
        </w:tc>
        <w:tc>
          <w:tcPr>
            <w:tcW w:type="dxa" w:w="3024"/>
          </w:tcPr>
          <w:p>
            <w:r>
              <w:rPr>
                <w:rFonts w:ascii="Times New Roman" w:hAnsi="Times New Roman"/>
                <w:sz w:val="20"/>
              </w:rPr>
              <w:t>Widerspruchsverfahren AOK</w:t>
            </w:r>
          </w:p>
        </w:tc>
        <w:tc>
          <w:tcPr>
            <w:tcW w:type="dxa" w:w="3024"/>
          </w:tcPr>
          <w:p>
            <w:r>
              <w:rPr>
                <w:rFonts w:ascii="Times New Roman" w:hAnsi="Times New Roman"/>
                <w:sz w:val="20"/>
              </w:rPr>
              <w:t>Läuft seit Jan. 2025, kein Bescheid</w:t>
            </w:r>
          </w:p>
        </w:tc>
      </w:tr>
      <w:tr>
        <w:tc>
          <w:tcPr>
            <w:tcW w:type="dxa" w:w="3024"/>
          </w:tcPr>
          <w:p>
            <w:r>
              <w:rPr>
                <w:rFonts w:ascii="Times New Roman" w:hAnsi="Times New Roman"/>
                <w:sz w:val="20"/>
              </w:rPr>
              <w:t>Botulinumtoxin obere Extremität</w:t>
            </w:r>
          </w:p>
        </w:tc>
        <w:tc>
          <w:tcPr>
            <w:tcW w:type="dxa" w:w="3024"/>
          </w:tcPr>
          <w:p>
            <w:r>
              <w:rPr>
                <w:rFonts w:ascii="Times New Roman" w:hAnsi="Times New Roman"/>
                <w:sz w:val="20"/>
              </w:rPr>
              <w:t>SG Hannover</w:t>
            </w:r>
          </w:p>
        </w:tc>
        <w:tc>
          <w:tcPr>
            <w:tcW w:type="dxa" w:w="3024"/>
          </w:tcPr>
          <w:p>
            <w:r>
              <w:rPr>
                <w:rFonts w:ascii="Times New Roman" w:hAnsi="Times New Roman"/>
                <w:sz w:val="20"/>
              </w:rPr>
              <w:t>Klage eingereicht Mai 2025</w:t>
            </w:r>
          </w:p>
        </w:tc>
      </w:tr>
      <w:tr>
        <w:tc>
          <w:tcPr>
            <w:tcW w:type="dxa" w:w="3024"/>
          </w:tcPr>
          <w:p>
            <w:r>
              <w:rPr>
                <w:rFonts w:ascii="Times New Roman" w:hAnsi="Times New Roman"/>
                <w:sz w:val="20"/>
              </w:rPr>
              <w:t>Interdisziplinäre Frühförderung</w:t>
            </w:r>
          </w:p>
        </w:tc>
        <w:tc>
          <w:tcPr>
            <w:tcW w:type="dxa" w:w="3024"/>
          </w:tcPr>
          <w:p>
            <w:r>
              <w:rPr>
                <w:rFonts w:ascii="Times New Roman" w:hAnsi="Times New Roman"/>
                <w:sz w:val="20"/>
              </w:rPr>
              <w:t>Widerspruchsverfahren Pflegekasse</w:t>
            </w:r>
          </w:p>
        </w:tc>
        <w:tc>
          <w:tcPr>
            <w:tcW w:type="dxa" w:w="3024"/>
          </w:tcPr>
          <w:p>
            <w:r>
              <w:rPr>
                <w:rFonts w:ascii="Times New Roman" w:hAnsi="Times New Roman"/>
                <w:sz w:val="20"/>
              </w:rPr>
              <w:t>Läuft seit Jan. 2025</w:t>
            </w:r>
          </w:p>
        </w:tc>
      </w:tr>
      <w:tr>
        <w:tc>
          <w:tcPr>
            <w:tcW w:type="dxa" w:w="3024"/>
          </w:tcPr>
          <w:p>
            <w:r>
              <w:rPr>
                <w:rFonts w:ascii="Times New Roman" w:hAnsi="Times New Roman"/>
                <w:sz w:val="20"/>
              </w:rPr>
              <w:t>Off-Label Maraviroc (Mutter)</w:t>
            </w:r>
          </w:p>
        </w:tc>
        <w:tc>
          <w:tcPr>
            <w:tcW w:type="dxa" w:w="3024"/>
          </w:tcPr>
          <w:p>
            <w:r>
              <w:rPr>
                <w:rFonts w:ascii="Times New Roman" w:hAnsi="Times New Roman"/>
                <w:sz w:val="20"/>
              </w:rPr>
              <w:t>Widerspruchsverfahren AOK</w:t>
            </w:r>
          </w:p>
        </w:tc>
        <w:tc>
          <w:tcPr>
            <w:tcW w:type="dxa" w:w="3024"/>
          </w:tcPr>
          <w:p>
            <w:r>
              <w:rPr>
                <w:rFonts w:ascii="Times New Roman" w:hAnsi="Times New Roman"/>
                <w:sz w:val="20"/>
              </w:rPr>
              <w:t>Läuft seit Juli 2025</w:t>
            </w:r>
          </w:p>
        </w:tc>
      </w:tr>
    </w:tbl>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Klotzkette Rechtsanwaltsgesellschaft mbH</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2C5230"/>
        <w:sz w:val="22"/>
      </w:rPr>
      <w:t>KLOTZKETTE RECHTSANWALTSGESELLSCHAFT MBH</w:t>
    </w:r>
  </w:p>
  <w:p>
    <w:pPr>
      <w:jc w:val="left"/>
      <w:pBdr>
        <w:bottom w:val="single" w:sz="8" w:space="2" w:color="2C5230"/>
      </w:pBdr>
    </w:pPr>
    <w:r>
      <w:rPr>
        <w:rFonts w:ascii="Times New Roman" w:hAnsi="Times New Roman"/>
        <w:color w:val="6B6B66"/>
        <w:sz w:val="16"/>
      </w:rPr>
      <w:t>Rechtsanwaltskanzlei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