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ICP-Gap-Analyse und Maßnahmenplan: Internes Exportkontrollprogramm (ICP)</w:t>
      </w:r>
    </w:p>
    <w:p>
      <w:pPr>
        <w:jc w:val="left"/>
      </w:pPr>
      <w:r>
        <w:rPr>
          <w:b/>
        </w:rPr>
        <w:t>Dokumenttyp:</w:t>
      </w:r>
      <w:r>
        <w:t xml:space="preserve"> Gap-Analyse / Compliance-Bericht</w:t>
      </w:r>
    </w:p>
    <w:p>
      <w:pPr>
        <w:jc w:val="left"/>
      </w:pPr>
      <w:r>
        <w:rPr>
          <w:b/>
        </w:rPr>
        <w:t>Aktenzeichen:</w:t>
      </w:r>
      <w:r>
        <w:t xml:space="preserve"> GM-ICP-2026-001</w:t>
      </w:r>
    </w:p>
    <w:p>
      <w:pPr>
        <w:jc w:val="left"/>
      </w:pPr>
      <w:r>
        <w:rPr>
          <w:b/>
        </w:rPr>
        <w:t>Erstellt:</w:t>
      </w:r>
      <w:r>
        <w:t xml:space="preserve"> 18. April 2026</w:t>
      </w:r>
    </w:p>
    <w:p>
      <w:pPr>
        <w:jc w:val="left"/>
      </w:pPr>
      <w:r>
        <w:rPr>
          <w:b/>
        </w:rPr>
        <w:t>Verfasser:</w:t>
      </w:r>
      <w:r>
        <w:t xml:space="preserve"> Dr. Sabine Brennecke, Syndikusrechtsanwältin; Dipl.-Ing. Rainer Hofstädter, Exportkontrollbeauftragter</w:t>
      </w:r>
    </w:p>
    <w:p>
      <w:pPr>
        <w:jc w:val="left"/>
      </w:pPr>
      <w:r>
        <w:rPr>
          <w:b/>
        </w:rPr>
        <w:t>Adressat:</w:t>
      </w:r>
      <w:r>
        <w:t xml:space="preserve"> Geschäftsführung Globalmaschinen GmbH</w:t>
      </w:r>
    </w:p>
    <w:p>
      <w:pPr>
        <w:jc w:val="left"/>
      </w:pPr>
      <w:r>
        <w:rPr>
          <w:b/>
        </w:rPr>
        <w:t>Status:</w:t>
      </w:r>
      <w:r>
        <w:t xml:space="preserve"> Abgeschlossen – Maßnahmenplan zur Genehmigung</w:t>
      </w:r>
    </w:p>
    <w:p/>
    <w:p>
      <w:pPr>
        <w:pStyle w:val="Heading2"/>
      </w:pPr>
      <w:r>
        <w:rPr>
          <w:rFonts w:ascii="Times New Roman" w:hAnsi="Times New Roman"/>
        </w:rPr>
        <w:t>1. Einleitung und Prüfungsanlass</w:t>
      </w:r>
    </w:p>
    <w:p>
      <w:pPr>
        <w:jc w:val="left"/>
      </w:pPr>
      <w:r>
        <w:t xml:space="preserve">Das Bundesamt für Wirtschaft und Ausfuhrkontrolle (BAFA) empfiehlt exportierenden Unternehmen die Einrichtung und kontinuierliche Pflege eines </w:t>
      </w:r>
      <w:r>
        <w:rPr>
          <w:b/>
        </w:rPr>
        <w:t>Internen Exportkontrollprogramms (ICP)</w:t>
      </w:r>
      <w:r>
        <w:t xml:space="preserve"> gemäß den BAFA-Compliance-Leitlinien (Stand: 2023) sowie den Best Practices der EU-Dual-Use-Verordnung 2021/821.</w:t>
      </w:r>
    </w:p>
    <w:p>
      <w:pPr>
        <w:jc w:val="left"/>
      </w:pPr>
      <w:r>
        <w:t>Anlass der vorliegenden Gap-Analyse ist die im April 2026 festgestellte Genehmigungsversäumnis bei der Ausfuhr von CNC-Steuermodulen GX-900 (Pos. 2B001.b EU-Dual-Use-Liste) sowie die behördlichen Anfragen von BAFA und HZA Stuttgart. Die Analyse soll Schwachstellen im bestehenden ICP identifizieren und einen priorisierten Maßnahmenplan entwickeln.</w:t>
      </w:r>
    </w:p>
    <w:p>
      <w:pPr>
        <w:jc w:val="left"/>
      </w:pPr>
      <w:r>
        <w:rPr>
          <w:b/>
        </w:rPr>
        <w:t>Prüfungsrahmen:</w:t>
      </w:r>
    </w:p>
    <w:p>
      <w:pPr>
        <w:pStyle w:val="ListBullet"/>
      </w:pPr>
      <w:r>
        <w:t>BAFA-Compliance-Leitlinien 2023</w:t>
      </w:r>
    </w:p>
    <w:p>
      <w:pPr>
        <w:pStyle w:val="ListBullet"/>
      </w:pPr>
      <w:r>
        <w:t>EU-Dual-Use Best Practice Guidance 2023 (EU-Kommission)</w:t>
      </w:r>
    </w:p>
    <w:p>
      <w:pPr>
        <w:pStyle w:val="ListBullet"/>
      </w:pPr>
      <w:r>
        <w:t>ISO 19600 (Compliance-Management-Systeme, Referenz)</w:t>
      </w:r>
    </w:p>
    <w:p>
      <w:pPr>
        <w:pStyle w:val="ListBullet"/>
      </w:pPr>
      <w:r>
        <w:t>DIHK-Leitfaden Exportkontrolle für KMU</w:t>
      </w:r>
    </w:p>
    <w:p/>
    <w:p>
      <w:pPr>
        <w:pStyle w:val="Heading2"/>
      </w:pPr>
      <w:r>
        <w:rPr>
          <w:rFonts w:ascii="Times New Roman" w:hAnsi="Times New Roman"/>
        </w:rPr>
        <w:t>2. ICP-Elemente: Soll-Ist-Vergleich</w:t>
      </w:r>
    </w:p>
    <w:p>
      <w:pPr>
        <w:pStyle w:val="Heading3"/>
      </w:pPr>
      <w:r>
        <w:rPr>
          <w:rFonts w:ascii="Times New Roman" w:hAnsi="Times New Roman"/>
        </w:rPr>
        <w:t>2.1 Commitment der Unternehmensleitung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Soll</w:t>
            </w:r>
          </w:p>
        </w:tc>
        <w:tc>
          <w:tcPr>
            <w:tcW w:type="dxa" w:w="2268"/>
          </w:tcPr>
          <w:p>
            <w:r>
              <w:rPr>
                <w:rFonts w:ascii="Times New Roman" w:hAnsi="Times New Roman"/>
                <w:b/>
                <w:sz w:val="20"/>
              </w:rPr>
              <w:t>Ist</w:t>
            </w:r>
          </w:p>
        </w:tc>
        <w:tc>
          <w:tcPr>
            <w:tcW w:type="dxa" w:w="2268"/>
          </w:tcPr>
          <w:p>
            <w:r>
              <w:rPr>
                <w:rFonts w:ascii="Times New Roman" w:hAnsi="Times New Roman"/>
                <w:b/>
                <w:sz w:val="20"/>
              </w:rPr>
              <w:t>Lücke</w:t>
            </w:r>
          </w:p>
        </w:tc>
      </w:tr>
      <w:tr>
        <w:tc>
          <w:tcPr>
            <w:tcW w:type="dxa" w:w="2268"/>
          </w:tcPr>
          <w:p>
            <w:r>
              <w:rPr>
                <w:rFonts w:ascii="Times New Roman" w:hAnsi="Times New Roman"/>
                <w:sz w:val="20"/>
              </w:rPr>
              <w:t>Exportkontrollpolitik schriftlich fixiert</w:t>
            </w:r>
          </w:p>
        </w:tc>
        <w:tc>
          <w:tcPr>
            <w:tcW w:type="dxa" w:w="2268"/>
          </w:tcPr>
          <w:p>
            <w:r>
              <w:rPr>
                <w:rFonts w:ascii="Times New Roman" w:hAnsi="Times New Roman"/>
                <w:sz w:val="20"/>
              </w:rPr>
              <w:t>Ja</w:t>
            </w:r>
          </w:p>
        </w:tc>
        <w:tc>
          <w:tcPr>
            <w:tcW w:type="dxa" w:w="2268"/>
          </w:tcPr>
          <w:p>
            <w:r>
              <w:rPr>
                <w:rFonts w:ascii="Times New Roman" w:hAnsi="Times New Roman"/>
                <w:sz w:val="20"/>
              </w:rPr>
              <w:t>Nein – nur mündliche Anweisung</w:t>
            </w:r>
          </w:p>
        </w:tc>
        <w:tc>
          <w:tcPr>
            <w:tcW w:type="dxa" w:w="2268"/>
          </w:tcPr>
          <w:p>
            <w:r>
              <w:rPr>
                <w:rFonts w:ascii="Times New Roman" w:hAnsi="Times New Roman"/>
                <w:b/>
                <w:sz w:val="20"/>
              </w:rPr>
              <w:t>Ja</w:t>
            </w:r>
          </w:p>
        </w:tc>
      </w:tr>
      <w:tr>
        <w:tc>
          <w:tcPr>
            <w:tcW w:type="dxa" w:w="2268"/>
          </w:tcPr>
          <w:p>
            <w:r>
              <w:rPr>
                <w:rFonts w:ascii="Times New Roman" w:hAnsi="Times New Roman"/>
                <w:sz w:val="20"/>
              </w:rPr>
              <w:t>Benennung Exportkontrollbeauftragter (EKB)</w:t>
            </w:r>
          </w:p>
        </w:tc>
        <w:tc>
          <w:tcPr>
            <w:tcW w:type="dxa" w:w="2268"/>
          </w:tcPr>
          <w:p>
            <w:r>
              <w:rPr>
                <w:rFonts w:ascii="Times New Roman" w:hAnsi="Times New Roman"/>
                <w:sz w:val="20"/>
              </w:rPr>
              <w:t>Ja</w:t>
            </w:r>
          </w:p>
        </w:tc>
        <w:tc>
          <w:tcPr>
            <w:tcW w:type="dxa" w:w="2268"/>
          </w:tcPr>
          <w:p>
            <w:r>
              <w:rPr>
                <w:rFonts w:ascii="Times New Roman" w:hAnsi="Times New Roman"/>
                <w:sz w:val="20"/>
              </w:rPr>
              <w:t>Ja – Dipl.-Ing. Hofstädter</w:t>
            </w:r>
          </w:p>
        </w:tc>
        <w:tc>
          <w:tcPr>
            <w:tcW w:type="dxa" w:w="2268"/>
          </w:tcPr>
          <w:p>
            <w:r>
              <w:rPr>
                <w:rFonts w:ascii="Times New Roman" w:hAnsi="Times New Roman"/>
                <w:sz w:val="20"/>
              </w:rPr>
              <w:t>Nein</w:t>
            </w:r>
          </w:p>
        </w:tc>
      </w:tr>
      <w:tr>
        <w:tc>
          <w:tcPr>
            <w:tcW w:type="dxa" w:w="2268"/>
          </w:tcPr>
          <w:p>
            <w:r>
              <w:rPr>
                <w:rFonts w:ascii="Times New Roman" w:hAnsi="Times New Roman"/>
                <w:sz w:val="20"/>
              </w:rPr>
              <w:t>EKB mit direktem Zugang zu GF</w:t>
            </w:r>
          </w:p>
        </w:tc>
        <w:tc>
          <w:tcPr>
            <w:tcW w:type="dxa" w:w="2268"/>
          </w:tcPr>
          <w:p>
            <w:r>
              <w:rPr>
                <w:rFonts w:ascii="Times New Roman" w:hAnsi="Times New Roman"/>
                <w:sz w:val="20"/>
              </w:rPr>
              <w:t>Ja</w:t>
            </w:r>
          </w:p>
        </w:tc>
        <w:tc>
          <w:tcPr>
            <w:tcW w:type="dxa" w:w="2268"/>
          </w:tcPr>
          <w:p>
            <w:r>
              <w:rPr>
                <w:rFonts w:ascii="Times New Roman" w:hAnsi="Times New Roman"/>
                <w:sz w:val="20"/>
              </w:rPr>
              <w:t>Eingeschränkt (über Abteilungsleiter)</w:t>
            </w:r>
          </w:p>
        </w:tc>
        <w:tc>
          <w:tcPr>
            <w:tcW w:type="dxa" w:w="2268"/>
          </w:tcPr>
          <w:p>
            <w:r>
              <w:rPr>
                <w:rFonts w:ascii="Times New Roman" w:hAnsi="Times New Roman"/>
                <w:b/>
                <w:sz w:val="20"/>
              </w:rPr>
              <w:t>Ja (partiell)</w:t>
            </w:r>
          </w:p>
        </w:tc>
      </w:tr>
      <w:tr>
        <w:tc>
          <w:tcPr>
            <w:tcW w:type="dxa" w:w="2268"/>
          </w:tcPr>
          <w:p>
            <w:r>
              <w:rPr>
                <w:rFonts w:ascii="Times New Roman" w:hAnsi="Times New Roman"/>
                <w:sz w:val="20"/>
              </w:rPr>
              <w:t>Sanktionierung von EK-Verstößen durch GF kommuniziert</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r>
        <w:tc>
          <w:tcPr>
            <w:tcW w:type="dxa" w:w="2268"/>
          </w:tcPr>
          <w:p>
            <w:r>
              <w:rPr>
                <w:rFonts w:ascii="Times New Roman" w:hAnsi="Times New Roman"/>
                <w:sz w:val="20"/>
              </w:rPr>
              <w:t>Jährliches EK-Review durch GF</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bl>
    <w:p>
      <w:pPr>
        <w:jc w:val="left"/>
      </w:pPr>
      <w:r>
        <w:rPr>
          <w:b/>
        </w:rPr>
        <w:t>Bewertung:</w:t>
      </w:r>
      <w:r>
        <w:t xml:space="preserve"> Das Commitment der Unternehmensleitung ist formal nicht verankert. Der EKB hat keine ungehinderte Eskalationslinie zur Geschäftsführung. Eine schriftliche Exportkontroll-Policy fehlt.</w:t>
      </w:r>
    </w:p>
    <w:p/>
    <w:p>
      <w:pPr>
        <w:pStyle w:val="Heading3"/>
      </w:pPr>
      <w:r>
        <w:rPr>
          <w:rFonts w:ascii="Times New Roman" w:hAnsi="Times New Roman"/>
        </w:rPr>
        <w:t>2.2 Risikoanalyse und Güterklassifizierung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Soll</w:t>
            </w:r>
          </w:p>
        </w:tc>
        <w:tc>
          <w:tcPr>
            <w:tcW w:type="dxa" w:w="2268"/>
          </w:tcPr>
          <w:p>
            <w:r>
              <w:rPr>
                <w:rFonts w:ascii="Times New Roman" w:hAnsi="Times New Roman"/>
                <w:b/>
                <w:sz w:val="20"/>
              </w:rPr>
              <w:t>Ist</w:t>
            </w:r>
          </w:p>
        </w:tc>
        <w:tc>
          <w:tcPr>
            <w:tcW w:type="dxa" w:w="2268"/>
          </w:tcPr>
          <w:p>
            <w:r>
              <w:rPr>
                <w:rFonts w:ascii="Times New Roman" w:hAnsi="Times New Roman"/>
                <w:b/>
                <w:sz w:val="20"/>
              </w:rPr>
              <w:t>Lücke</w:t>
            </w:r>
          </w:p>
        </w:tc>
      </w:tr>
      <w:tr>
        <w:tc>
          <w:tcPr>
            <w:tcW w:type="dxa" w:w="2268"/>
          </w:tcPr>
          <w:p>
            <w:r>
              <w:rPr>
                <w:rFonts w:ascii="Times New Roman" w:hAnsi="Times New Roman"/>
                <w:sz w:val="20"/>
              </w:rPr>
              <w:t>Güterklassifizierung aller Exportprodukte</w:t>
            </w:r>
          </w:p>
        </w:tc>
        <w:tc>
          <w:tcPr>
            <w:tcW w:type="dxa" w:w="2268"/>
          </w:tcPr>
          <w:p>
            <w:r>
              <w:rPr>
                <w:rFonts w:ascii="Times New Roman" w:hAnsi="Times New Roman"/>
                <w:sz w:val="20"/>
              </w:rPr>
              <w:t>Ja, dokumentiert</w:t>
            </w:r>
          </w:p>
        </w:tc>
        <w:tc>
          <w:tcPr>
            <w:tcW w:type="dxa" w:w="2268"/>
          </w:tcPr>
          <w:p>
            <w:r>
              <w:rPr>
                <w:rFonts w:ascii="Times New Roman" w:hAnsi="Times New Roman"/>
                <w:sz w:val="20"/>
              </w:rPr>
              <w:t>Excel-Tabelle, veraltet, ohne Freigabe</w:t>
            </w:r>
          </w:p>
        </w:tc>
        <w:tc>
          <w:tcPr>
            <w:tcW w:type="dxa" w:w="2268"/>
          </w:tcPr>
          <w:p>
            <w:r>
              <w:rPr>
                <w:rFonts w:ascii="Times New Roman" w:hAnsi="Times New Roman"/>
                <w:b/>
                <w:sz w:val="20"/>
              </w:rPr>
              <w:t>Ja</w:t>
            </w:r>
          </w:p>
        </w:tc>
      </w:tr>
      <w:tr>
        <w:tc>
          <w:tcPr>
            <w:tcW w:type="dxa" w:w="2268"/>
          </w:tcPr>
          <w:p>
            <w:r>
              <w:rPr>
                <w:rFonts w:ascii="Times New Roman" w:hAnsi="Times New Roman"/>
                <w:sz w:val="20"/>
              </w:rPr>
              <w:t>Vier-Augen-Prinzip bei Klassifizierung</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r>
        <w:tc>
          <w:tcPr>
            <w:tcW w:type="dxa" w:w="2268"/>
          </w:tcPr>
          <w:p>
            <w:r>
              <w:rPr>
                <w:rFonts w:ascii="Times New Roman" w:hAnsi="Times New Roman"/>
                <w:sz w:val="20"/>
              </w:rPr>
              <w:t>Aktualisierung bei Produktänderungen</w:t>
            </w:r>
          </w:p>
        </w:tc>
        <w:tc>
          <w:tcPr>
            <w:tcW w:type="dxa" w:w="2268"/>
          </w:tcPr>
          <w:p>
            <w:r>
              <w:rPr>
                <w:rFonts w:ascii="Times New Roman" w:hAnsi="Times New Roman"/>
                <w:sz w:val="20"/>
              </w:rPr>
              <w:t>Ja (automatisch)</w:t>
            </w:r>
          </w:p>
        </w:tc>
        <w:tc>
          <w:tcPr>
            <w:tcW w:type="dxa" w:w="2268"/>
          </w:tcPr>
          <w:p>
            <w:r>
              <w:rPr>
                <w:rFonts w:ascii="Times New Roman" w:hAnsi="Times New Roman"/>
                <w:sz w:val="20"/>
              </w:rPr>
              <w:t>Nein (ad hoc)</w:t>
            </w:r>
          </w:p>
        </w:tc>
        <w:tc>
          <w:tcPr>
            <w:tcW w:type="dxa" w:w="2268"/>
          </w:tcPr>
          <w:p>
            <w:r>
              <w:rPr>
                <w:rFonts w:ascii="Times New Roman" w:hAnsi="Times New Roman"/>
                <w:b/>
                <w:sz w:val="20"/>
              </w:rPr>
              <w:t>Ja</w:t>
            </w:r>
          </w:p>
        </w:tc>
      </w:tr>
      <w:tr>
        <w:tc>
          <w:tcPr>
            <w:tcW w:type="dxa" w:w="2268"/>
          </w:tcPr>
          <w:p>
            <w:r>
              <w:rPr>
                <w:rFonts w:ascii="Times New Roman" w:hAnsi="Times New Roman"/>
                <w:sz w:val="20"/>
              </w:rPr>
              <w:t>ECCN-Bezug (US-EAR) für US-Komponenten</w:t>
            </w:r>
          </w:p>
        </w:tc>
        <w:tc>
          <w:tcPr>
            <w:tcW w:type="dxa" w:w="2268"/>
          </w:tcPr>
          <w:p>
            <w:r>
              <w:rPr>
                <w:rFonts w:ascii="Times New Roman" w:hAnsi="Times New Roman"/>
                <w:sz w:val="20"/>
              </w:rPr>
              <w:t>Ja</w:t>
            </w:r>
          </w:p>
        </w:tc>
        <w:tc>
          <w:tcPr>
            <w:tcW w:type="dxa" w:w="2268"/>
          </w:tcPr>
          <w:p>
            <w:r>
              <w:rPr>
                <w:rFonts w:ascii="Times New Roman" w:hAnsi="Times New Roman"/>
                <w:sz w:val="20"/>
              </w:rPr>
              <w:t>Nein – nicht erfasst</w:t>
            </w:r>
          </w:p>
        </w:tc>
        <w:tc>
          <w:tcPr>
            <w:tcW w:type="dxa" w:w="2268"/>
          </w:tcPr>
          <w:p>
            <w:r>
              <w:rPr>
                <w:rFonts w:ascii="Times New Roman" w:hAnsi="Times New Roman"/>
                <w:b/>
                <w:sz w:val="20"/>
              </w:rPr>
              <w:t>Ja</w:t>
            </w:r>
          </w:p>
        </w:tc>
      </w:tr>
      <w:tr>
        <w:tc>
          <w:tcPr>
            <w:tcW w:type="dxa" w:w="2268"/>
          </w:tcPr>
          <w:p>
            <w:r>
              <w:rPr>
                <w:rFonts w:ascii="Times New Roman" w:hAnsi="Times New Roman"/>
                <w:sz w:val="20"/>
              </w:rPr>
              <w:t>Dokumentation Dual-Use-Negativprüfung</w:t>
            </w:r>
          </w:p>
        </w:tc>
        <w:tc>
          <w:tcPr>
            <w:tcW w:type="dxa" w:w="2268"/>
          </w:tcPr>
          <w:p>
            <w:r>
              <w:rPr>
                <w:rFonts w:ascii="Times New Roman" w:hAnsi="Times New Roman"/>
                <w:sz w:val="20"/>
              </w:rPr>
              <w:t>Ja, pro Artikel</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r>
        <w:tc>
          <w:tcPr>
            <w:tcW w:type="dxa" w:w="2268"/>
          </w:tcPr>
          <w:p>
            <w:r>
              <w:rPr>
                <w:rFonts w:ascii="Times New Roman" w:hAnsi="Times New Roman"/>
                <w:sz w:val="20"/>
              </w:rPr>
              <w:t>Catch-All-Prüfungsroutine</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bl>
    <w:p>
      <w:pPr>
        <w:jc w:val="left"/>
      </w:pPr>
      <w:r>
        <w:rPr>
          <w:b/>
        </w:rPr>
        <w:t>Bewertung:</w:t>
      </w:r>
      <w:r>
        <w:t xml:space="preserve"> Die Güterklassifizierung ist das kritischste Schwachstellen-Element. Die Excel-Klassifizierungsliste hat kein Versionsmanagement, keine Freigabeprozesse und erfasst keine US-EAR-Bezüge. Das GX-900 wurde fehlerhaft eingestuft; dieser Fehler konnte mangels Vier-Augen-Kontrolle nicht abgefangen werden.</w:t>
      </w:r>
    </w:p>
    <w:p/>
    <w:p>
      <w:pPr>
        <w:pStyle w:val="Heading3"/>
      </w:pPr>
      <w:r>
        <w:rPr>
          <w:rFonts w:ascii="Times New Roman" w:hAnsi="Times New Roman"/>
        </w:rPr>
        <w:t>2.3 Sanktionsscreening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Soll</w:t>
            </w:r>
          </w:p>
        </w:tc>
        <w:tc>
          <w:tcPr>
            <w:tcW w:type="dxa" w:w="2268"/>
          </w:tcPr>
          <w:p>
            <w:r>
              <w:rPr>
                <w:rFonts w:ascii="Times New Roman" w:hAnsi="Times New Roman"/>
                <w:b/>
                <w:sz w:val="20"/>
              </w:rPr>
              <w:t>Ist</w:t>
            </w:r>
          </w:p>
        </w:tc>
        <w:tc>
          <w:tcPr>
            <w:tcW w:type="dxa" w:w="2268"/>
          </w:tcPr>
          <w:p>
            <w:r>
              <w:rPr>
                <w:rFonts w:ascii="Times New Roman" w:hAnsi="Times New Roman"/>
                <w:b/>
                <w:sz w:val="20"/>
              </w:rPr>
              <w:t>Lücke</w:t>
            </w:r>
          </w:p>
        </w:tc>
      </w:tr>
      <w:tr>
        <w:tc>
          <w:tcPr>
            <w:tcW w:type="dxa" w:w="2268"/>
          </w:tcPr>
          <w:p>
            <w:r>
              <w:rPr>
                <w:rFonts w:ascii="Times New Roman" w:hAnsi="Times New Roman"/>
                <w:sz w:val="20"/>
              </w:rPr>
              <w:t>Screening vor Auftragsannahme</w:t>
            </w:r>
          </w:p>
        </w:tc>
        <w:tc>
          <w:tcPr>
            <w:tcW w:type="dxa" w:w="2268"/>
          </w:tcPr>
          <w:p>
            <w:r>
              <w:rPr>
                <w:rFonts w:ascii="Times New Roman" w:hAnsi="Times New Roman"/>
                <w:sz w:val="20"/>
              </w:rPr>
              <w:t>Ja</w:t>
            </w:r>
          </w:p>
        </w:tc>
        <w:tc>
          <w:tcPr>
            <w:tcW w:type="dxa" w:w="2268"/>
          </w:tcPr>
          <w:p>
            <w:r>
              <w:rPr>
                <w:rFonts w:ascii="Times New Roman" w:hAnsi="Times New Roman"/>
                <w:sz w:val="20"/>
              </w:rPr>
              <w:t>Nein – erst bei Versandfreigabe</w:t>
            </w:r>
          </w:p>
        </w:tc>
        <w:tc>
          <w:tcPr>
            <w:tcW w:type="dxa" w:w="2268"/>
          </w:tcPr>
          <w:p>
            <w:r>
              <w:rPr>
                <w:rFonts w:ascii="Times New Roman" w:hAnsi="Times New Roman"/>
                <w:b/>
                <w:sz w:val="20"/>
              </w:rPr>
              <w:t>Ja (kritisch)</w:t>
            </w:r>
          </w:p>
        </w:tc>
      </w:tr>
      <w:tr>
        <w:tc>
          <w:tcPr>
            <w:tcW w:type="dxa" w:w="2268"/>
          </w:tcPr>
          <w:p>
            <w:r>
              <w:rPr>
                <w:rFonts w:ascii="Times New Roman" w:hAnsi="Times New Roman"/>
                <w:sz w:val="20"/>
              </w:rPr>
              <w:t>Transaktionsbezogenes Screening</w:t>
            </w:r>
          </w:p>
        </w:tc>
        <w:tc>
          <w:tcPr>
            <w:tcW w:type="dxa" w:w="2268"/>
          </w:tcPr>
          <w:p>
            <w:r>
              <w:rPr>
                <w:rFonts w:ascii="Times New Roman" w:hAnsi="Times New Roman"/>
                <w:sz w:val="20"/>
              </w:rPr>
              <w:t>Ja</w:t>
            </w:r>
          </w:p>
        </w:tc>
        <w:tc>
          <w:tcPr>
            <w:tcW w:type="dxa" w:w="2268"/>
          </w:tcPr>
          <w:p>
            <w:r>
              <w:rPr>
                <w:rFonts w:ascii="Times New Roman" w:hAnsi="Times New Roman"/>
                <w:sz w:val="20"/>
              </w:rPr>
              <w:t>Nein – monatlich</w:t>
            </w:r>
          </w:p>
        </w:tc>
        <w:tc>
          <w:tcPr>
            <w:tcW w:type="dxa" w:w="2268"/>
          </w:tcPr>
          <w:p>
            <w:r>
              <w:rPr>
                <w:rFonts w:ascii="Times New Roman" w:hAnsi="Times New Roman"/>
                <w:b/>
                <w:sz w:val="20"/>
              </w:rPr>
              <w:t>Ja (kritisch)</w:t>
            </w:r>
          </w:p>
        </w:tc>
      </w:tr>
      <w:tr>
        <w:tc>
          <w:tcPr>
            <w:tcW w:type="dxa" w:w="2268"/>
          </w:tcPr>
          <w:p>
            <w:r>
              <w:rPr>
                <w:rFonts w:ascii="Times New Roman" w:hAnsi="Times New Roman"/>
                <w:sz w:val="20"/>
              </w:rPr>
              <w:t>Screening UBO / wirtschaftl. Berechtigte</w:t>
            </w:r>
          </w:p>
        </w:tc>
        <w:tc>
          <w:tcPr>
            <w:tcW w:type="dxa" w:w="2268"/>
          </w:tcPr>
          <w:p>
            <w:r>
              <w:rPr>
                <w:rFonts w:ascii="Times New Roman" w:hAnsi="Times New Roman"/>
                <w:sz w:val="20"/>
              </w:rPr>
              <w:t>Ja</w:t>
            </w:r>
          </w:p>
        </w:tc>
        <w:tc>
          <w:tcPr>
            <w:tcW w:type="dxa" w:w="2268"/>
          </w:tcPr>
          <w:p>
            <w:r>
              <w:rPr>
                <w:rFonts w:ascii="Times New Roman" w:hAnsi="Times New Roman"/>
                <w:sz w:val="20"/>
              </w:rPr>
              <w:t>Nein – nur Firmenname</w:t>
            </w:r>
          </w:p>
        </w:tc>
        <w:tc>
          <w:tcPr>
            <w:tcW w:type="dxa" w:w="2268"/>
          </w:tcPr>
          <w:p>
            <w:r>
              <w:rPr>
                <w:rFonts w:ascii="Times New Roman" w:hAnsi="Times New Roman"/>
                <w:b/>
                <w:sz w:val="20"/>
              </w:rPr>
              <w:t>Ja</w:t>
            </w:r>
          </w:p>
        </w:tc>
      </w:tr>
      <w:tr>
        <w:tc>
          <w:tcPr>
            <w:tcW w:type="dxa" w:w="2268"/>
          </w:tcPr>
          <w:p>
            <w:r>
              <w:rPr>
                <w:rFonts w:ascii="Times New Roman" w:hAnsi="Times New Roman"/>
                <w:sz w:val="20"/>
              </w:rPr>
              <w:t>Screening aller Zahlungsparteien</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r>
        <w:tc>
          <w:tcPr>
            <w:tcW w:type="dxa" w:w="2268"/>
          </w:tcPr>
          <w:p>
            <w:r>
              <w:rPr>
                <w:rFonts w:ascii="Times New Roman" w:hAnsi="Times New Roman"/>
                <w:sz w:val="20"/>
              </w:rPr>
              <w:t>Verwendetes Tool lizenziert und aktuell</w:t>
            </w:r>
          </w:p>
        </w:tc>
        <w:tc>
          <w:tcPr>
            <w:tcW w:type="dxa" w:w="2268"/>
          </w:tcPr>
          <w:p>
            <w:r>
              <w:rPr>
                <w:rFonts w:ascii="Times New Roman" w:hAnsi="Times New Roman"/>
                <w:sz w:val="20"/>
              </w:rPr>
              <w:t>Ja</w:t>
            </w:r>
          </w:p>
        </w:tc>
        <w:tc>
          <w:tcPr>
            <w:tcW w:type="dxa" w:w="2268"/>
          </w:tcPr>
          <w:p>
            <w:r>
              <w:rPr>
                <w:rFonts w:ascii="Times New Roman" w:hAnsi="Times New Roman"/>
                <w:sz w:val="20"/>
              </w:rPr>
              <w:t>WorldCheck (aktuell, lizenziert)</w:t>
            </w:r>
          </w:p>
        </w:tc>
        <w:tc>
          <w:tcPr>
            <w:tcW w:type="dxa" w:w="2268"/>
          </w:tcPr>
          <w:p>
            <w:r>
              <w:rPr>
                <w:rFonts w:ascii="Times New Roman" w:hAnsi="Times New Roman"/>
                <w:sz w:val="20"/>
              </w:rPr>
              <w:t>Nein</w:t>
            </w:r>
          </w:p>
        </w:tc>
      </w:tr>
      <w:tr>
        <w:tc>
          <w:tcPr>
            <w:tcW w:type="dxa" w:w="2268"/>
          </w:tcPr>
          <w:p>
            <w:r>
              <w:rPr>
                <w:rFonts w:ascii="Times New Roman" w:hAnsi="Times New Roman"/>
                <w:sz w:val="20"/>
              </w:rPr>
              <w:t>False-Positive-Eskalationsverfahren</w:t>
            </w:r>
          </w:p>
        </w:tc>
        <w:tc>
          <w:tcPr>
            <w:tcW w:type="dxa" w:w="2268"/>
          </w:tcPr>
          <w:p>
            <w:r>
              <w:rPr>
                <w:rFonts w:ascii="Times New Roman" w:hAnsi="Times New Roman"/>
                <w:sz w:val="20"/>
              </w:rPr>
              <w:t>Ja</w:t>
            </w:r>
          </w:p>
        </w:tc>
        <w:tc>
          <w:tcPr>
            <w:tcW w:type="dxa" w:w="2268"/>
          </w:tcPr>
          <w:p>
            <w:r>
              <w:rPr>
                <w:rFonts w:ascii="Times New Roman" w:hAnsi="Times New Roman"/>
                <w:sz w:val="20"/>
              </w:rPr>
              <w:t>Informal</w:t>
            </w:r>
          </w:p>
        </w:tc>
        <w:tc>
          <w:tcPr>
            <w:tcW w:type="dxa" w:w="2268"/>
          </w:tcPr>
          <w:p>
            <w:r>
              <w:rPr>
                <w:rFonts w:ascii="Times New Roman" w:hAnsi="Times New Roman"/>
                <w:b/>
                <w:sz w:val="20"/>
              </w:rPr>
              <w:t>Ja (partiell)</w:t>
            </w:r>
          </w:p>
        </w:tc>
      </w:tr>
      <w:tr>
        <w:tc>
          <w:tcPr>
            <w:tcW w:type="dxa" w:w="2268"/>
          </w:tcPr>
          <w:p>
            <w:r>
              <w:rPr>
                <w:rFonts w:ascii="Times New Roman" w:hAnsi="Times New Roman"/>
                <w:sz w:val="20"/>
              </w:rPr>
              <w:t>Screening-Dokumentation pro Transaktion</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bl>
    <w:p>
      <w:pPr>
        <w:jc w:val="left"/>
      </w:pPr>
      <w:r>
        <w:rPr>
          <w:b/>
        </w:rPr>
        <w:t>Bewertung:</w:t>
      </w:r>
      <w:r>
        <w:t xml:space="preserve"> Das Sanktionsscreening erfolgt zu spät im Prozess (erst bei Versandfreigabe) und ist nicht transaktionsbezogen. Eine Vorauszahlung von 125.000 EUR wurde ohne vorheriges Screening freigegeben.</w:t>
      </w:r>
    </w:p>
    <w:p/>
    <w:p>
      <w:pPr>
        <w:pStyle w:val="Heading3"/>
      </w:pPr>
      <w:r>
        <w:rPr>
          <w:rFonts w:ascii="Times New Roman" w:hAnsi="Times New Roman"/>
        </w:rPr>
        <w:t>2.4 Genehmigungsmanagement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Soll</w:t>
            </w:r>
          </w:p>
        </w:tc>
        <w:tc>
          <w:tcPr>
            <w:tcW w:type="dxa" w:w="2268"/>
          </w:tcPr>
          <w:p>
            <w:r>
              <w:rPr>
                <w:rFonts w:ascii="Times New Roman" w:hAnsi="Times New Roman"/>
                <w:b/>
                <w:sz w:val="20"/>
              </w:rPr>
              <w:t>Ist</w:t>
            </w:r>
          </w:p>
        </w:tc>
        <w:tc>
          <w:tcPr>
            <w:tcW w:type="dxa" w:w="2268"/>
          </w:tcPr>
          <w:p>
            <w:r>
              <w:rPr>
                <w:rFonts w:ascii="Times New Roman" w:hAnsi="Times New Roman"/>
                <w:b/>
                <w:sz w:val="20"/>
              </w:rPr>
              <w:t>Lücke</w:t>
            </w:r>
          </w:p>
        </w:tc>
      </w:tr>
      <w:tr>
        <w:tc>
          <w:tcPr>
            <w:tcW w:type="dxa" w:w="2268"/>
          </w:tcPr>
          <w:p>
            <w:r>
              <w:rPr>
                <w:rFonts w:ascii="Times New Roman" w:hAnsi="Times New Roman"/>
                <w:sz w:val="20"/>
              </w:rPr>
              <w:t>Genehmigungspflichtige Transaktionen identifiziert</w:t>
            </w:r>
          </w:p>
        </w:tc>
        <w:tc>
          <w:tcPr>
            <w:tcW w:type="dxa" w:w="2268"/>
          </w:tcPr>
          <w:p>
            <w:r>
              <w:rPr>
                <w:rFonts w:ascii="Times New Roman" w:hAnsi="Times New Roman"/>
                <w:sz w:val="20"/>
              </w:rPr>
              <w:t>Ja</w:t>
            </w:r>
          </w:p>
        </w:tc>
        <w:tc>
          <w:tcPr>
            <w:tcW w:type="dxa" w:w="2268"/>
          </w:tcPr>
          <w:p>
            <w:r>
              <w:rPr>
                <w:rFonts w:ascii="Times New Roman" w:hAnsi="Times New Roman"/>
                <w:sz w:val="20"/>
              </w:rPr>
              <w:t>Nein – kein Prozess</w:t>
            </w:r>
          </w:p>
        </w:tc>
        <w:tc>
          <w:tcPr>
            <w:tcW w:type="dxa" w:w="2268"/>
          </w:tcPr>
          <w:p>
            <w:r>
              <w:rPr>
                <w:rFonts w:ascii="Times New Roman" w:hAnsi="Times New Roman"/>
                <w:b/>
                <w:sz w:val="20"/>
              </w:rPr>
              <w:t>Ja</w:t>
            </w:r>
          </w:p>
        </w:tc>
      </w:tr>
      <w:tr>
        <w:tc>
          <w:tcPr>
            <w:tcW w:type="dxa" w:w="2268"/>
          </w:tcPr>
          <w:p>
            <w:r>
              <w:rPr>
                <w:rFonts w:ascii="Times New Roman" w:hAnsi="Times New Roman"/>
                <w:sz w:val="20"/>
              </w:rPr>
              <w:t>Liefersperre bis Genehmigungseingang</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r>
        <w:tc>
          <w:tcPr>
            <w:tcW w:type="dxa" w:w="2268"/>
          </w:tcPr>
          <w:p>
            <w:r>
              <w:rPr>
                <w:rFonts w:ascii="Times New Roman" w:hAnsi="Times New Roman"/>
                <w:sz w:val="20"/>
              </w:rPr>
              <w:t>Genehmigungsarchiv (10 Jahre)</w:t>
            </w:r>
          </w:p>
        </w:tc>
        <w:tc>
          <w:tcPr>
            <w:tcW w:type="dxa" w:w="2268"/>
          </w:tcPr>
          <w:p>
            <w:r>
              <w:rPr>
                <w:rFonts w:ascii="Times New Roman" w:hAnsi="Times New Roman"/>
                <w:sz w:val="20"/>
              </w:rPr>
              <w:t>Ja</w:t>
            </w:r>
          </w:p>
        </w:tc>
        <w:tc>
          <w:tcPr>
            <w:tcW w:type="dxa" w:w="2268"/>
          </w:tcPr>
          <w:p>
            <w:r>
              <w:rPr>
                <w:rFonts w:ascii="Times New Roman" w:hAnsi="Times New Roman"/>
                <w:sz w:val="20"/>
              </w:rPr>
              <w:t>Nicht vorhanden</w:t>
            </w:r>
          </w:p>
        </w:tc>
        <w:tc>
          <w:tcPr>
            <w:tcW w:type="dxa" w:w="2268"/>
          </w:tcPr>
          <w:p>
            <w:r>
              <w:rPr>
                <w:rFonts w:ascii="Times New Roman" w:hAnsi="Times New Roman"/>
                <w:b/>
                <w:sz w:val="20"/>
              </w:rPr>
              <w:t>Ja</w:t>
            </w:r>
          </w:p>
        </w:tc>
      </w:tr>
      <w:tr>
        <w:tc>
          <w:tcPr>
            <w:tcW w:type="dxa" w:w="2268"/>
          </w:tcPr>
          <w:p>
            <w:r>
              <w:rPr>
                <w:rFonts w:ascii="Times New Roman" w:hAnsi="Times New Roman"/>
                <w:sz w:val="20"/>
              </w:rPr>
              <w:t>Nutzung EU-Allgemeingenehmigungen dokumentiert</w:t>
            </w:r>
          </w:p>
        </w:tc>
        <w:tc>
          <w:tcPr>
            <w:tcW w:type="dxa" w:w="2268"/>
          </w:tcPr>
          <w:p>
            <w:r>
              <w:rPr>
                <w:rFonts w:ascii="Times New Roman" w:hAnsi="Times New Roman"/>
                <w:sz w:val="20"/>
              </w:rPr>
              <w:t>Ja</w:t>
            </w:r>
          </w:p>
        </w:tc>
        <w:tc>
          <w:tcPr>
            <w:tcW w:type="dxa" w:w="2268"/>
          </w:tcPr>
          <w:p>
            <w:r>
              <w:rPr>
                <w:rFonts w:ascii="Times New Roman" w:hAnsi="Times New Roman"/>
                <w:sz w:val="20"/>
              </w:rPr>
              <w:t>Nicht dokumentiert</w:t>
            </w:r>
          </w:p>
        </w:tc>
        <w:tc>
          <w:tcPr>
            <w:tcW w:type="dxa" w:w="2268"/>
          </w:tcPr>
          <w:p>
            <w:r>
              <w:rPr>
                <w:rFonts w:ascii="Times New Roman" w:hAnsi="Times New Roman"/>
                <w:b/>
                <w:sz w:val="20"/>
              </w:rPr>
              <w:t>Ja</w:t>
            </w:r>
          </w:p>
        </w:tc>
      </w:tr>
      <w:tr>
        <w:tc>
          <w:tcPr>
            <w:tcW w:type="dxa" w:w="2268"/>
          </w:tcPr>
          <w:p>
            <w:r>
              <w:rPr>
                <w:rFonts w:ascii="Times New Roman" w:hAnsi="Times New Roman"/>
                <w:sz w:val="20"/>
              </w:rPr>
              <w:t>BAFA-Kommunikation koordiniert</w:t>
            </w:r>
          </w:p>
        </w:tc>
        <w:tc>
          <w:tcPr>
            <w:tcW w:type="dxa" w:w="2268"/>
          </w:tcPr>
          <w:p>
            <w:r>
              <w:rPr>
                <w:rFonts w:ascii="Times New Roman" w:hAnsi="Times New Roman"/>
                <w:sz w:val="20"/>
              </w:rPr>
              <w:t>Ja</w:t>
            </w:r>
          </w:p>
        </w:tc>
        <w:tc>
          <w:tcPr>
            <w:tcW w:type="dxa" w:w="2268"/>
          </w:tcPr>
          <w:p>
            <w:r>
              <w:rPr>
                <w:rFonts w:ascii="Times New Roman" w:hAnsi="Times New Roman"/>
                <w:sz w:val="20"/>
              </w:rPr>
              <w:t>Ad hoc</w:t>
            </w:r>
          </w:p>
        </w:tc>
        <w:tc>
          <w:tcPr>
            <w:tcW w:type="dxa" w:w="2268"/>
          </w:tcPr>
          <w:p>
            <w:r>
              <w:rPr>
                <w:rFonts w:ascii="Times New Roman" w:hAnsi="Times New Roman"/>
                <w:b/>
                <w:sz w:val="20"/>
              </w:rPr>
              <w:t>Ja (partiell)</w:t>
            </w:r>
          </w:p>
        </w:tc>
      </w:tr>
    </w:tbl>
    <w:p/>
    <w:p>
      <w:pPr>
        <w:pStyle w:val="Heading3"/>
      </w:pPr>
      <w:r>
        <w:rPr>
          <w:rFonts w:ascii="Times New Roman" w:hAnsi="Times New Roman"/>
        </w:rPr>
        <w:t>2.5 Geschäftspartnerprüfung (Business Partner Compliance)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Soll</w:t>
            </w:r>
          </w:p>
        </w:tc>
        <w:tc>
          <w:tcPr>
            <w:tcW w:type="dxa" w:w="2268"/>
          </w:tcPr>
          <w:p>
            <w:r>
              <w:rPr>
                <w:rFonts w:ascii="Times New Roman" w:hAnsi="Times New Roman"/>
                <w:b/>
                <w:sz w:val="20"/>
              </w:rPr>
              <w:t>Ist</w:t>
            </w:r>
          </w:p>
        </w:tc>
        <w:tc>
          <w:tcPr>
            <w:tcW w:type="dxa" w:w="2268"/>
          </w:tcPr>
          <w:p>
            <w:r>
              <w:rPr>
                <w:rFonts w:ascii="Times New Roman" w:hAnsi="Times New Roman"/>
                <w:b/>
                <w:sz w:val="20"/>
              </w:rPr>
              <w:t>Lücke</w:t>
            </w:r>
          </w:p>
        </w:tc>
      </w:tr>
      <w:tr>
        <w:tc>
          <w:tcPr>
            <w:tcW w:type="dxa" w:w="2268"/>
          </w:tcPr>
          <w:p>
            <w:r>
              <w:rPr>
                <w:rFonts w:ascii="Times New Roman" w:hAnsi="Times New Roman"/>
                <w:sz w:val="20"/>
              </w:rPr>
              <w:t>Standardisiertes Onboarding neuer Händler</w:t>
            </w:r>
          </w:p>
        </w:tc>
        <w:tc>
          <w:tcPr>
            <w:tcW w:type="dxa" w:w="2268"/>
          </w:tcPr>
          <w:p>
            <w:r>
              <w:rPr>
                <w:rFonts w:ascii="Times New Roman" w:hAnsi="Times New Roman"/>
                <w:sz w:val="20"/>
              </w:rPr>
              <w:t>Ja</w:t>
            </w:r>
          </w:p>
        </w:tc>
        <w:tc>
          <w:tcPr>
            <w:tcW w:type="dxa" w:w="2268"/>
          </w:tcPr>
          <w:p>
            <w:r>
              <w:rPr>
                <w:rFonts w:ascii="Times New Roman" w:hAnsi="Times New Roman"/>
                <w:sz w:val="20"/>
              </w:rPr>
              <w:t>Nein – kein Prozess</w:t>
            </w:r>
          </w:p>
        </w:tc>
        <w:tc>
          <w:tcPr>
            <w:tcW w:type="dxa" w:w="2268"/>
          </w:tcPr>
          <w:p>
            <w:r>
              <w:rPr>
                <w:rFonts w:ascii="Times New Roman" w:hAnsi="Times New Roman"/>
                <w:b/>
                <w:sz w:val="20"/>
              </w:rPr>
              <w:t>Ja</w:t>
            </w:r>
          </w:p>
        </w:tc>
      </w:tr>
      <w:tr>
        <w:tc>
          <w:tcPr>
            <w:tcW w:type="dxa" w:w="2268"/>
          </w:tcPr>
          <w:p>
            <w:r>
              <w:rPr>
                <w:rFonts w:ascii="Times New Roman" w:hAnsi="Times New Roman"/>
                <w:sz w:val="20"/>
              </w:rPr>
              <w:t>Vier-Augen-Prinzip bei Neukunden</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r>
        <w:tc>
          <w:tcPr>
            <w:tcW w:type="dxa" w:w="2268"/>
          </w:tcPr>
          <w:p>
            <w:r>
              <w:rPr>
                <w:rFonts w:ascii="Times New Roman" w:hAnsi="Times New Roman"/>
                <w:sz w:val="20"/>
              </w:rPr>
              <w:t>UBO-Verifizierung</w:t>
            </w:r>
          </w:p>
        </w:tc>
        <w:tc>
          <w:tcPr>
            <w:tcW w:type="dxa" w:w="2268"/>
          </w:tcPr>
          <w:p>
            <w:r>
              <w:rPr>
                <w:rFonts w:ascii="Times New Roman" w:hAnsi="Times New Roman"/>
                <w:sz w:val="20"/>
              </w:rPr>
              <w:t>Ja</w:t>
            </w:r>
          </w:p>
        </w:tc>
        <w:tc>
          <w:tcPr>
            <w:tcW w:type="dxa" w:w="2268"/>
          </w:tcPr>
          <w:p>
            <w:r>
              <w:rPr>
                <w:rFonts w:ascii="Times New Roman" w:hAnsi="Times New Roman"/>
                <w:sz w:val="20"/>
              </w:rPr>
              <w:t>Nur Selbstauskunft</w:t>
            </w:r>
          </w:p>
        </w:tc>
        <w:tc>
          <w:tcPr>
            <w:tcW w:type="dxa" w:w="2268"/>
          </w:tcPr>
          <w:p>
            <w:r>
              <w:rPr>
                <w:rFonts w:ascii="Times New Roman" w:hAnsi="Times New Roman"/>
                <w:b/>
                <w:sz w:val="20"/>
              </w:rPr>
              <w:t>Ja</w:t>
            </w:r>
          </w:p>
        </w:tc>
      </w:tr>
      <w:tr>
        <w:tc>
          <w:tcPr>
            <w:tcW w:type="dxa" w:w="2268"/>
          </w:tcPr>
          <w:p>
            <w:r>
              <w:rPr>
                <w:rFonts w:ascii="Times New Roman" w:hAnsi="Times New Roman"/>
                <w:sz w:val="20"/>
              </w:rPr>
              <w:t>Endverwendungserklärungen (EUC) für listenpflichtige Güter</w:t>
            </w:r>
          </w:p>
        </w:tc>
        <w:tc>
          <w:tcPr>
            <w:tcW w:type="dxa" w:w="2268"/>
          </w:tcPr>
          <w:p>
            <w:r>
              <w:rPr>
                <w:rFonts w:ascii="Times New Roman" w:hAnsi="Times New Roman"/>
                <w:sz w:val="20"/>
              </w:rPr>
              <w:t>Ja</w:t>
            </w:r>
          </w:p>
        </w:tc>
        <w:tc>
          <w:tcPr>
            <w:tcW w:type="dxa" w:w="2268"/>
          </w:tcPr>
          <w:p>
            <w:r>
              <w:rPr>
                <w:rFonts w:ascii="Times New Roman" w:hAnsi="Times New Roman"/>
                <w:sz w:val="20"/>
              </w:rPr>
              <w:t>Nein – nicht systematisch</w:t>
            </w:r>
          </w:p>
        </w:tc>
        <w:tc>
          <w:tcPr>
            <w:tcW w:type="dxa" w:w="2268"/>
          </w:tcPr>
          <w:p>
            <w:r>
              <w:rPr>
                <w:rFonts w:ascii="Times New Roman" w:hAnsi="Times New Roman"/>
                <w:b/>
                <w:sz w:val="20"/>
              </w:rPr>
              <w:t>Ja</w:t>
            </w:r>
          </w:p>
        </w:tc>
      </w:tr>
      <w:tr>
        <w:tc>
          <w:tcPr>
            <w:tcW w:type="dxa" w:w="2268"/>
          </w:tcPr>
          <w:p>
            <w:r>
              <w:rPr>
                <w:rFonts w:ascii="Times New Roman" w:hAnsi="Times New Roman"/>
                <w:sz w:val="20"/>
              </w:rPr>
              <w:t>Vertragliche No-Re-Export-Klauseln (Art. 12g VO 833/2014)</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r>
        <w:tc>
          <w:tcPr>
            <w:tcW w:type="dxa" w:w="2268"/>
          </w:tcPr>
          <w:p>
            <w:r>
              <w:rPr>
                <w:rFonts w:ascii="Times New Roman" w:hAnsi="Times New Roman"/>
                <w:sz w:val="20"/>
              </w:rPr>
              <w:t>Red-Flag-Checkliste im Onboarding</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bl>
    <w:p/>
    <w:p>
      <w:pPr>
        <w:pStyle w:val="Heading3"/>
      </w:pPr>
      <w:r>
        <w:rPr>
          <w:rFonts w:ascii="Times New Roman" w:hAnsi="Times New Roman"/>
        </w:rPr>
        <w:t>2.6 Training und Schulung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Soll</w:t>
            </w:r>
          </w:p>
        </w:tc>
        <w:tc>
          <w:tcPr>
            <w:tcW w:type="dxa" w:w="2268"/>
          </w:tcPr>
          <w:p>
            <w:r>
              <w:rPr>
                <w:rFonts w:ascii="Times New Roman" w:hAnsi="Times New Roman"/>
                <w:b/>
                <w:sz w:val="20"/>
              </w:rPr>
              <w:t>Ist</w:t>
            </w:r>
          </w:p>
        </w:tc>
        <w:tc>
          <w:tcPr>
            <w:tcW w:type="dxa" w:w="2268"/>
          </w:tcPr>
          <w:p>
            <w:r>
              <w:rPr>
                <w:rFonts w:ascii="Times New Roman" w:hAnsi="Times New Roman"/>
                <w:b/>
                <w:sz w:val="20"/>
              </w:rPr>
              <w:t>Lücke</w:t>
            </w:r>
          </w:p>
        </w:tc>
      </w:tr>
      <w:tr>
        <w:tc>
          <w:tcPr>
            <w:tcW w:type="dxa" w:w="2268"/>
          </w:tcPr>
          <w:p>
            <w:r>
              <w:rPr>
                <w:rFonts w:ascii="Times New Roman" w:hAnsi="Times New Roman"/>
                <w:sz w:val="20"/>
              </w:rPr>
              <w:t>Jährliche EK-Grundschulung für Vertrieb</w:t>
            </w:r>
          </w:p>
        </w:tc>
        <w:tc>
          <w:tcPr>
            <w:tcW w:type="dxa" w:w="2268"/>
          </w:tcPr>
          <w:p>
            <w:r>
              <w:rPr>
                <w:rFonts w:ascii="Times New Roman" w:hAnsi="Times New Roman"/>
                <w:sz w:val="20"/>
              </w:rPr>
              <w:t>Ja</w:t>
            </w:r>
          </w:p>
        </w:tc>
        <w:tc>
          <w:tcPr>
            <w:tcW w:type="dxa" w:w="2268"/>
          </w:tcPr>
          <w:p>
            <w:r>
              <w:rPr>
                <w:rFonts w:ascii="Times New Roman" w:hAnsi="Times New Roman"/>
                <w:sz w:val="20"/>
              </w:rPr>
              <w:t>Einmalig 2022 (veraltet)</w:t>
            </w:r>
          </w:p>
        </w:tc>
        <w:tc>
          <w:tcPr>
            <w:tcW w:type="dxa" w:w="2268"/>
          </w:tcPr>
          <w:p>
            <w:r>
              <w:rPr>
                <w:rFonts w:ascii="Times New Roman" w:hAnsi="Times New Roman"/>
                <w:b/>
                <w:sz w:val="20"/>
              </w:rPr>
              <w:t>Ja</w:t>
            </w:r>
          </w:p>
        </w:tc>
      </w:tr>
      <w:tr>
        <w:tc>
          <w:tcPr>
            <w:tcW w:type="dxa" w:w="2268"/>
          </w:tcPr>
          <w:p>
            <w:r>
              <w:rPr>
                <w:rFonts w:ascii="Times New Roman" w:hAnsi="Times New Roman"/>
                <w:sz w:val="20"/>
              </w:rPr>
              <w:t>Spezialschulung für EKB</w:t>
            </w:r>
          </w:p>
        </w:tc>
        <w:tc>
          <w:tcPr>
            <w:tcW w:type="dxa" w:w="2268"/>
          </w:tcPr>
          <w:p>
            <w:r>
              <w:rPr>
                <w:rFonts w:ascii="Times New Roman" w:hAnsi="Times New Roman"/>
                <w:sz w:val="20"/>
              </w:rPr>
              <w:t>Ja</w:t>
            </w:r>
          </w:p>
        </w:tc>
        <w:tc>
          <w:tcPr>
            <w:tcW w:type="dxa" w:w="2268"/>
          </w:tcPr>
          <w:p>
            <w:r>
              <w:rPr>
                <w:rFonts w:ascii="Times New Roman" w:hAnsi="Times New Roman"/>
                <w:sz w:val="20"/>
              </w:rPr>
              <w:t>Extern, zuletzt 2023</w:t>
            </w:r>
          </w:p>
        </w:tc>
        <w:tc>
          <w:tcPr>
            <w:tcW w:type="dxa" w:w="2268"/>
          </w:tcPr>
          <w:p>
            <w:r>
              <w:rPr>
                <w:rFonts w:ascii="Times New Roman" w:hAnsi="Times New Roman"/>
                <w:sz w:val="20"/>
              </w:rPr>
              <w:t>Partiell</w:t>
            </w:r>
          </w:p>
        </w:tc>
      </w:tr>
      <w:tr>
        <w:tc>
          <w:tcPr>
            <w:tcW w:type="dxa" w:w="2268"/>
          </w:tcPr>
          <w:p>
            <w:r>
              <w:rPr>
                <w:rFonts w:ascii="Times New Roman" w:hAnsi="Times New Roman"/>
                <w:sz w:val="20"/>
              </w:rPr>
              <w:t>Schulungsnachweis dokumentiert</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r>
        <w:tc>
          <w:tcPr>
            <w:tcW w:type="dxa" w:w="2268"/>
          </w:tcPr>
          <w:p>
            <w:r>
              <w:rPr>
                <w:rFonts w:ascii="Times New Roman" w:hAnsi="Times New Roman"/>
                <w:sz w:val="20"/>
              </w:rPr>
              <w:t>Fallstudien / Praxissimulationen</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r>
        <w:tc>
          <w:tcPr>
            <w:tcW w:type="dxa" w:w="2268"/>
          </w:tcPr>
          <w:p>
            <w:r>
              <w:rPr>
                <w:rFonts w:ascii="Times New Roman" w:hAnsi="Times New Roman"/>
                <w:sz w:val="20"/>
              </w:rPr>
              <w:t>Onboarding-Schulung neue MA</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bl>
    <w:p/>
    <w:p>
      <w:pPr>
        <w:pStyle w:val="Heading3"/>
      </w:pPr>
      <w:r>
        <w:rPr>
          <w:rFonts w:ascii="Times New Roman" w:hAnsi="Times New Roman"/>
        </w:rPr>
        <w:t>2.7 CBAM-Compliance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Soll</w:t>
            </w:r>
          </w:p>
        </w:tc>
        <w:tc>
          <w:tcPr>
            <w:tcW w:type="dxa" w:w="2268"/>
          </w:tcPr>
          <w:p>
            <w:r>
              <w:rPr>
                <w:rFonts w:ascii="Times New Roman" w:hAnsi="Times New Roman"/>
                <w:b/>
                <w:sz w:val="20"/>
              </w:rPr>
              <w:t>Ist</w:t>
            </w:r>
          </w:p>
        </w:tc>
        <w:tc>
          <w:tcPr>
            <w:tcW w:type="dxa" w:w="2268"/>
          </w:tcPr>
          <w:p>
            <w:r>
              <w:rPr>
                <w:rFonts w:ascii="Times New Roman" w:hAnsi="Times New Roman"/>
                <w:b/>
                <w:sz w:val="20"/>
              </w:rPr>
              <w:t>Lücke</w:t>
            </w:r>
          </w:p>
        </w:tc>
      </w:tr>
      <w:tr>
        <w:tc>
          <w:tcPr>
            <w:tcW w:type="dxa" w:w="2268"/>
          </w:tcPr>
          <w:p>
            <w:r>
              <w:rPr>
                <w:rFonts w:ascii="Times New Roman" w:hAnsi="Times New Roman"/>
                <w:sz w:val="20"/>
              </w:rPr>
              <w:t>CBAM-Verantwortlicher benannt</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r>
        <w:tc>
          <w:tcPr>
            <w:tcW w:type="dxa" w:w="2268"/>
          </w:tcPr>
          <w:p>
            <w:r>
              <w:rPr>
                <w:rFonts w:ascii="Times New Roman" w:hAnsi="Times New Roman"/>
                <w:sz w:val="20"/>
              </w:rPr>
              <w:t>CBAM-Relevanz der Importe geprüft</w:t>
            </w:r>
          </w:p>
        </w:tc>
        <w:tc>
          <w:tcPr>
            <w:tcW w:type="dxa" w:w="2268"/>
          </w:tcPr>
          <w:p>
            <w:r>
              <w:rPr>
                <w:rFonts w:ascii="Times New Roman" w:hAnsi="Times New Roman"/>
                <w:sz w:val="20"/>
              </w:rPr>
              <w:t>Ja</w:t>
            </w:r>
          </w:p>
        </w:tc>
        <w:tc>
          <w:tcPr>
            <w:tcW w:type="dxa" w:w="2268"/>
          </w:tcPr>
          <w:p>
            <w:r>
              <w:rPr>
                <w:rFonts w:ascii="Times New Roman" w:hAnsi="Times New Roman"/>
                <w:sz w:val="20"/>
              </w:rPr>
              <w:t>Nicht systematisch (CSV vorhanden)</w:t>
            </w:r>
          </w:p>
        </w:tc>
        <w:tc>
          <w:tcPr>
            <w:tcW w:type="dxa" w:w="2268"/>
          </w:tcPr>
          <w:p>
            <w:r>
              <w:rPr>
                <w:rFonts w:ascii="Times New Roman" w:hAnsi="Times New Roman"/>
                <w:b/>
                <w:sz w:val="20"/>
              </w:rPr>
              <w:t>Ja (partiell)</w:t>
            </w:r>
          </w:p>
        </w:tc>
      </w:tr>
      <w:tr>
        <w:tc>
          <w:tcPr>
            <w:tcW w:type="dxa" w:w="2268"/>
          </w:tcPr>
          <w:p>
            <w:r>
              <w:rPr>
                <w:rFonts w:ascii="Times New Roman" w:hAnsi="Times New Roman"/>
                <w:sz w:val="20"/>
              </w:rPr>
              <w:t>Quartalsberichte CBAM-Portal</w:t>
            </w:r>
          </w:p>
        </w:tc>
        <w:tc>
          <w:tcPr>
            <w:tcW w:type="dxa" w:w="2268"/>
          </w:tcPr>
          <w:p>
            <w:r>
              <w:rPr>
                <w:rFonts w:ascii="Times New Roman" w:hAnsi="Times New Roman"/>
                <w:sz w:val="20"/>
              </w:rPr>
              <w:t>Ja (ab 2026 Q1)</w:t>
            </w:r>
          </w:p>
        </w:tc>
        <w:tc>
          <w:tcPr>
            <w:tcW w:type="dxa" w:w="2268"/>
          </w:tcPr>
          <w:p>
            <w:r>
              <w:rPr>
                <w:rFonts w:ascii="Times New Roman" w:hAnsi="Times New Roman"/>
                <w:sz w:val="20"/>
              </w:rPr>
              <w:t>Ausstehend</w:t>
            </w:r>
          </w:p>
        </w:tc>
        <w:tc>
          <w:tcPr>
            <w:tcW w:type="dxa" w:w="2268"/>
          </w:tcPr>
          <w:p>
            <w:r>
              <w:rPr>
                <w:rFonts w:ascii="Times New Roman" w:hAnsi="Times New Roman"/>
                <w:b/>
                <w:sz w:val="20"/>
              </w:rPr>
              <w:t>Ja</w:t>
            </w:r>
          </w:p>
        </w:tc>
      </w:tr>
      <w:tr>
        <w:tc>
          <w:tcPr>
            <w:tcW w:type="dxa" w:w="2268"/>
          </w:tcPr>
          <w:p>
            <w:r>
              <w:rPr>
                <w:rFonts w:ascii="Times New Roman" w:hAnsi="Times New Roman"/>
                <w:sz w:val="20"/>
              </w:rPr>
              <w:t>Emissionsdaten von Lieferanten erhoben</w:t>
            </w:r>
          </w:p>
        </w:tc>
        <w:tc>
          <w:tcPr>
            <w:tcW w:type="dxa" w:w="2268"/>
          </w:tcPr>
          <w:p>
            <w:r>
              <w:rPr>
                <w:rFonts w:ascii="Times New Roman" w:hAnsi="Times New Roman"/>
                <w:sz w:val="20"/>
              </w:rPr>
              <w:t>Ja</w:t>
            </w:r>
          </w:p>
        </w:tc>
        <w:tc>
          <w:tcPr>
            <w:tcW w:type="dxa" w:w="2268"/>
          </w:tcPr>
          <w:p>
            <w:r>
              <w:rPr>
                <w:rFonts w:ascii="Times New Roman" w:hAnsi="Times New Roman"/>
                <w:sz w:val="20"/>
              </w:rPr>
              <w:t>Teilweise (Stahl: ja; Aluminium: nein)</w:t>
            </w:r>
          </w:p>
        </w:tc>
        <w:tc>
          <w:tcPr>
            <w:tcW w:type="dxa" w:w="2268"/>
          </w:tcPr>
          <w:p>
            <w:r>
              <w:rPr>
                <w:rFonts w:ascii="Times New Roman" w:hAnsi="Times New Roman"/>
                <w:b/>
                <w:sz w:val="20"/>
              </w:rPr>
              <w:t>Ja</w:t>
            </w:r>
          </w:p>
        </w:tc>
      </w:tr>
    </w:tbl>
    <w:p/>
    <w:p>
      <w:pPr>
        <w:pStyle w:val="Heading3"/>
      </w:pPr>
      <w:r>
        <w:rPr>
          <w:rFonts w:ascii="Times New Roman" w:hAnsi="Times New Roman"/>
        </w:rPr>
        <w:t>2.8 AWV-Meldungen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Soll</w:t>
            </w:r>
          </w:p>
        </w:tc>
        <w:tc>
          <w:tcPr>
            <w:tcW w:type="dxa" w:w="2268"/>
          </w:tcPr>
          <w:p>
            <w:r>
              <w:rPr>
                <w:rFonts w:ascii="Times New Roman" w:hAnsi="Times New Roman"/>
                <w:b/>
                <w:sz w:val="20"/>
              </w:rPr>
              <w:t>Ist</w:t>
            </w:r>
          </w:p>
        </w:tc>
        <w:tc>
          <w:tcPr>
            <w:tcW w:type="dxa" w:w="2268"/>
          </w:tcPr>
          <w:p>
            <w:r>
              <w:rPr>
                <w:rFonts w:ascii="Times New Roman" w:hAnsi="Times New Roman"/>
                <w:b/>
                <w:sz w:val="20"/>
              </w:rPr>
              <w:t>Lücke</w:t>
            </w:r>
          </w:p>
        </w:tc>
      </w:tr>
      <w:tr>
        <w:tc>
          <w:tcPr>
            <w:tcW w:type="dxa" w:w="2268"/>
          </w:tcPr>
          <w:p>
            <w:r>
              <w:rPr>
                <w:rFonts w:ascii="Times New Roman" w:hAnsi="Times New Roman"/>
                <w:sz w:val="20"/>
              </w:rPr>
              <w:t>AWV-Meldepflichten systematisch geprüft</w:t>
            </w:r>
          </w:p>
        </w:tc>
        <w:tc>
          <w:tcPr>
            <w:tcW w:type="dxa" w:w="2268"/>
          </w:tcPr>
          <w:p>
            <w:r>
              <w:rPr>
                <w:rFonts w:ascii="Times New Roman" w:hAnsi="Times New Roman"/>
                <w:sz w:val="20"/>
              </w:rPr>
              <w:t>Ja</w:t>
            </w:r>
          </w:p>
        </w:tc>
        <w:tc>
          <w:tcPr>
            <w:tcW w:type="dxa" w:w="2268"/>
          </w:tcPr>
          <w:p>
            <w:r>
              <w:rPr>
                <w:rFonts w:ascii="Times New Roman" w:hAnsi="Times New Roman"/>
                <w:sz w:val="20"/>
              </w:rPr>
              <w:t>Nein – dezentral</w:t>
            </w:r>
          </w:p>
        </w:tc>
        <w:tc>
          <w:tcPr>
            <w:tcW w:type="dxa" w:w="2268"/>
          </w:tcPr>
          <w:p>
            <w:r>
              <w:rPr>
                <w:rFonts w:ascii="Times New Roman" w:hAnsi="Times New Roman"/>
                <w:b/>
                <w:sz w:val="20"/>
              </w:rPr>
              <w:t>Ja</w:t>
            </w:r>
          </w:p>
        </w:tc>
      </w:tr>
      <w:tr>
        <w:tc>
          <w:tcPr>
            <w:tcW w:type="dxa" w:w="2268"/>
          </w:tcPr>
          <w:p>
            <w:r>
              <w:rPr>
                <w:rFonts w:ascii="Times New Roman" w:hAnsi="Times New Roman"/>
                <w:sz w:val="20"/>
              </w:rPr>
              <w:t>Meldungen fristgerecht</w:t>
            </w:r>
          </w:p>
        </w:tc>
        <w:tc>
          <w:tcPr>
            <w:tcW w:type="dxa" w:w="2268"/>
          </w:tcPr>
          <w:p>
            <w:r>
              <w:rPr>
                <w:rFonts w:ascii="Times New Roman" w:hAnsi="Times New Roman"/>
                <w:sz w:val="20"/>
              </w:rPr>
              <w:t>Ja</w:t>
            </w:r>
          </w:p>
        </w:tc>
        <w:tc>
          <w:tcPr>
            <w:tcW w:type="dxa" w:w="2268"/>
          </w:tcPr>
          <w:p>
            <w:r>
              <w:rPr>
                <w:rFonts w:ascii="Times New Roman" w:hAnsi="Times New Roman"/>
                <w:sz w:val="20"/>
              </w:rPr>
              <w:t>Nein – rückständig (Jan–Mrz 2026)</w:t>
            </w:r>
          </w:p>
        </w:tc>
        <w:tc>
          <w:tcPr>
            <w:tcW w:type="dxa" w:w="2268"/>
          </w:tcPr>
          <w:p>
            <w:r>
              <w:rPr>
                <w:rFonts w:ascii="Times New Roman" w:hAnsi="Times New Roman"/>
                <w:b/>
                <w:sz w:val="20"/>
              </w:rPr>
              <w:t>Ja</w:t>
            </w:r>
          </w:p>
        </w:tc>
      </w:tr>
      <w:tr>
        <w:tc>
          <w:tcPr>
            <w:tcW w:type="dxa" w:w="2268"/>
          </w:tcPr>
          <w:p>
            <w:r>
              <w:rPr>
                <w:rFonts w:ascii="Times New Roman" w:hAnsi="Times New Roman"/>
                <w:sz w:val="20"/>
              </w:rPr>
              <w:t>Zentrale Koordination AWV</w:t>
            </w:r>
          </w:p>
        </w:tc>
        <w:tc>
          <w:tcPr>
            <w:tcW w:type="dxa" w:w="2268"/>
          </w:tcPr>
          <w:p>
            <w:r>
              <w:rPr>
                <w:rFonts w:ascii="Times New Roman" w:hAnsi="Times New Roman"/>
                <w:sz w:val="20"/>
              </w:rPr>
              <w:t>Ja</w:t>
            </w:r>
          </w:p>
        </w:tc>
        <w:tc>
          <w:tcPr>
            <w:tcW w:type="dxa" w:w="2268"/>
          </w:tcPr>
          <w:p>
            <w:r>
              <w:rPr>
                <w:rFonts w:ascii="Times New Roman" w:hAnsi="Times New Roman"/>
                <w:sz w:val="20"/>
              </w:rPr>
              <w:t>Nein</w:t>
            </w:r>
          </w:p>
        </w:tc>
        <w:tc>
          <w:tcPr>
            <w:tcW w:type="dxa" w:w="2268"/>
          </w:tcPr>
          <w:p>
            <w:r>
              <w:rPr>
                <w:rFonts w:ascii="Times New Roman" w:hAnsi="Times New Roman"/>
                <w:b/>
                <w:sz w:val="20"/>
              </w:rPr>
              <w:t>Ja</w:t>
            </w:r>
          </w:p>
        </w:tc>
      </w:tr>
    </w:tbl>
    <w:p/>
    <w:p>
      <w:pPr>
        <w:pStyle w:val="Heading2"/>
      </w:pPr>
      <w:r>
        <w:rPr>
          <w:rFonts w:ascii="Times New Roman" w:hAnsi="Times New Roman"/>
        </w:rPr>
        <w:t>3. Gap-Zusammenfassung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Bereich</w:t>
            </w:r>
          </w:p>
        </w:tc>
        <w:tc>
          <w:tcPr>
            <w:tcW w:type="dxa" w:w="3024"/>
          </w:tcPr>
          <w:p>
            <w:r>
              <w:rPr>
                <w:rFonts w:ascii="Times New Roman" w:hAnsi="Times New Roman"/>
                <w:b/>
                <w:sz w:val="20"/>
              </w:rPr>
              <w:t>Anzahl Lücken</w:t>
            </w:r>
          </w:p>
        </w:tc>
        <w:tc>
          <w:tcPr>
            <w:tcW w:type="dxa" w:w="3024"/>
          </w:tcPr>
          <w:p>
            <w:r>
              <w:rPr>
                <w:rFonts w:ascii="Times New Roman" w:hAnsi="Times New Roman"/>
                <w:b/>
                <w:sz w:val="20"/>
              </w:rPr>
              <w:t>Kritikalität</w:t>
            </w:r>
          </w:p>
        </w:tc>
      </w:tr>
      <w:tr>
        <w:tc>
          <w:tcPr>
            <w:tcW w:type="dxa" w:w="3024"/>
          </w:tcPr>
          <w:p>
            <w:r>
              <w:rPr>
                <w:rFonts w:ascii="Times New Roman" w:hAnsi="Times New Roman"/>
                <w:sz w:val="20"/>
              </w:rPr>
              <w:t>Commitment Unternehmensleitung</w:t>
            </w:r>
          </w:p>
        </w:tc>
        <w:tc>
          <w:tcPr>
            <w:tcW w:type="dxa" w:w="3024"/>
          </w:tcPr>
          <w:p>
            <w:r>
              <w:rPr>
                <w:rFonts w:ascii="Times New Roman" w:hAnsi="Times New Roman"/>
                <w:sz w:val="20"/>
              </w:rPr>
              <w:t>4</w:t>
            </w:r>
          </w:p>
        </w:tc>
        <w:tc>
          <w:tcPr>
            <w:tcW w:type="dxa" w:w="3024"/>
          </w:tcPr>
          <w:p>
            <w:r>
              <w:rPr>
                <w:rFonts w:ascii="Times New Roman" w:hAnsi="Times New Roman"/>
                <w:sz w:val="20"/>
              </w:rPr>
              <w:t>Mittel</w:t>
            </w:r>
          </w:p>
        </w:tc>
      </w:tr>
      <w:tr>
        <w:tc>
          <w:tcPr>
            <w:tcW w:type="dxa" w:w="3024"/>
          </w:tcPr>
          <w:p>
            <w:r>
              <w:rPr>
                <w:rFonts w:ascii="Times New Roman" w:hAnsi="Times New Roman"/>
                <w:sz w:val="20"/>
              </w:rPr>
              <w:t>Güterklassifizierung</w:t>
            </w:r>
          </w:p>
        </w:tc>
        <w:tc>
          <w:tcPr>
            <w:tcW w:type="dxa" w:w="3024"/>
          </w:tcPr>
          <w:p>
            <w:r>
              <w:rPr>
                <w:rFonts w:ascii="Times New Roman" w:hAnsi="Times New Roman"/>
                <w:sz w:val="20"/>
              </w:rPr>
              <w:t>6</w:t>
            </w:r>
          </w:p>
        </w:tc>
        <w:tc>
          <w:tcPr>
            <w:tcW w:type="dxa" w:w="3024"/>
          </w:tcPr>
          <w:p>
            <w:r>
              <w:rPr>
                <w:rFonts w:ascii="Times New Roman" w:hAnsi="Times New Roman"/>
                <w:b/>
                <w:sz w:val="20"/>
              </w:rPr>
              <w:t>Sehr hoch</w:t>
            </w:r>
          </w:p>
        </w:tc>
      </w:tr>
      <w:tr>
        <w:tc>
          <w:tcPr>
            <w:tcW w:type="dxa" w:w="3024"/>
          </w:tcPr>
          <w:p>
            <w:r>
              <w:rPr>
                <w:rFonts w:ascii="Times New Roman" w:hAnsi="Times New Roman"/>
                <w:sz w:val="20"/>
              </w:rPr>
              <w:t>Sanktionsscreening</w:t>
            </w:r>
          </w:p>
        </w:tc>
        <w:tc>
          <w:tcPr>
            <w:tcW w:type="dxa" w:w="3024"/>
          </w:tcPr>
          <w:p>
            <w:r>
              <w:rPr>
                <w:rFonts w:ascii="Times New Roman" w:hAnsi="Times New Roman"/>
                <w:sz w:val="20"/>
              </w:rPr>
              <w:t>7</w:t>
            </w:r>
          </w:p>
        </w:tc>
        <w:tc>
          <w:tcPr>
            <w:tcW w:type="dxa" w:w="3024"/>
          </w:tcPr>
          <w:p>
            <w:r>
              <w:rPr>
                <w:rFonts w:ascii="Times New Roman" w:hAnsi="Times New Roman"/>
                <w:b/>
                <w:sz w:val="20"/>
              </w:rPr>
              <w:t>Sehr hoch</w:t>
            </w:r>
          </w:p>
        </w:tc>
      </w:tr>
      <w:tr>
        <w:tc>
          <w:tcPr>
            <w:tcW w:type="dxa" w:w="3024"/>
          </w:tcPr>
          <w:p>
            <w:r>
              <w:rPr>
                <w:rFonts w:ascii="Times New Roman" w:hAnsi="Times New Roman"/>
                <w:sz w:val="20"/>
              </w:rPr>
              <w:t>Genehmigungsmanagement</w:t>
            </w:r>
          </w:p>
        </w:tc>
        <w:tc>
          <w:tcPr>
            <w:tcW w:type="dxa" w:w="3024"/>
          </w:tcPr>
          <w:p>
            <w:r>
              <w:rPr>
                <w:rFonts w:ascii="Times New Roman" w:hAnsi="Times New Roman"/>
                <w:sz w:val="20"/>
              </w:rPr>
              <w:t>5</w:t>
            </w:r>
          </w:p>
        </w:tc>
        <w:tc>
          <w:tcPr>
            <w:tcW w:type="dxa" w:w="3024"/>
          </w:tcPr>
          <w:p>
            <w:r>
              <w:rPr>
                <w:rFonts w:ascii="Times New Roman" w:hAnsi="Times New Roman"/>
                <w:sz w:val="20"/>
              </w:rPr>
              <w:t>Hoch</w:t>
            </w:r>
          </w:p>
        </w:tc>
      </w:tr>
      <w:tr>
        <w:tc>
          <w:tcPr>
            <w:tcW w:type="dxa" w:w="3024"/>
          </w:tcPr>
          <w:p>
            <w:r>
              <w:rPr>
                <w:rFonts w:ascii="Times New Roman" w:hAnsi="Times New Roman"/>
                <w:sz w:val="20"/>
              </w:rPr>
              <w:t>Geschäftspartnerprüfung</w:t>
            </w:r>
          </w:p>
        </w:tc>
        <w:tc>
          <w:tcPr>
            <w:tcW w:type="dxa" w:w="3024"/>
          </w:tcPr>
          <w:p>
            <w:r>
              <w:rPr>
                <w:rFonts w:ascii="Times New Roman" w:hAnsi="Times New Roman"/>
                <w:sz w:val="20"/>
              </w:rPr>
              <w:t>6</w:t>
            </w:r>
          </w:p>
        </w:tc>
        <w:tc>
          <w:tcPr>
            <w:tcW w:type="dxa" w:w="3024"/>
          </w:tcPr>
          <w:p>
            <w:r>
              <w:rPr>
                <w:rFonts w:ascii="Times New Roman" w:hAnsi="Times New Roman"/>
                <w:sz w:val="20"/>
              </w:rPr>
              <w:t>Hoch</w:t>
            </w:r>
          </w:p>
        </w:tc>
      </w:tr>
      <w:tr>
        <w:tc>
          <w:tcPr>
            <w:tcW w:type="dxa" w:w="3024"/>
          </w:tcPr>
          <w:p>
            <w:r>
              <w:rPr>
                <w:rFonts w:ascii="Times New Roman" w:hAnsi="Times New Roman"/>
                <w:sz w:val="20"/>
              </w:rPr>
              <w:t>Training / Schulung</w:t>
            </w:r>
          </w:p>
        </w:tc>
        <w:tc>
          <w:tcPr>
            <w:tcW w:type="dxa" w:w="3024"/>
          </w:tcPr>
          <w:p>
            <w:r>
              <w:rPr>
                <w:rFonts w:ascii="Times New Roman" w:hAnsi="Times New Roman"/>
                <w:sz w:val="20"/>
              </w:rPr>
              <w:t>5</w:t>
            </w:r>
          </w:p>
        </w:tc>
        <w:tc>
          <w:tcPr>
            <w:tcW w:type="dxa" w:w="3024"/>
          </w:tcPr>
          <w:p>
            <w:r>
              <w:rPr>
                <w:rFonts w:ascii="Times New Roman" w:hAnsi="Times New Roman"/>
                <w:sz w:val="20"/>
              </w:rPr>
              <w:t>Mittel</w:t>
            </w:r>
          </w:p>
        </w:tc>
      </w:tr>
      <w:tr>
        <w:tc>
          <w:tcPr>
            <w:tcW w:type="dxa" w:w="3024"/>
          </w:tcPr>
          <w:p>
            <w:r>
              <w:rPr>
                <w:rFonts w:ascii="Times New Roman" w:hAnsi="Times New Roman"/>
                <w:sz w:val="20"/>
              </w:rPr>
              <w:t>CBAM-Compliance</w:t>
            </w:r>
          </w:p>
        </w:tc>
        <w:tc>
          <w:tcPr>
            <w:tcW w:type="dxa" w:w="3024"/>
          </w:tcPr>
          <w:p>
            <w:r>
              <w:rPr>
                <w:rFonts w:ascii="Times New Roman" w:hAnsi="Times New Roman"/>
                <w:sz w:val="20"/>
              </w:rPr>
              <w:t>4</w:t>
            </w:r>
          </w:p>
        </w:tc>
        <w:tc>
          <w:tcPr>
            <w:tcW w:type="dxa" w:w="3024"/>
          </w:tcPr>
          <w:p>
            <w:r>
              <w:rPr>
                <w:rFonts w:ascii="Times New Roman" w:hAnsi="Times New Roman"/>
                <w:sz w:val="20"/>
              </w:rPr>
              <w:t>Mittel</w:t>
            </w:r>
          </w:p>
        </w:tc>
      </w:tr>
      <w:tr>
        <w:tc>
          <w:tcPr>
            <w:tcW w:type="dxa" w:w="3024"/>
          </w:tcPr>
          <w:p>
            <w:r>
              <w:rPr>
                <w:rFonts w:ascii="Times New Roman" w:hAnsi="Times New Roman"/>
                <w:sz w:val="20"/>
              </w:rPr>
              <w:t>AWV-Meldungen</w:t>
            </w:r>
          </w:p>
        </w:tc>
        <w:tc>
          <w:tcPr>
            <w:tcW w:type="dxa" w:w="3024"/>
          </w:tcPr>
          <w:p>
            <w:r>
              <w:rPr>
                <w:rFonts w:ascii="Times New Roman" w:hAnsi="Times New Roman"/>
                <w:sz w:val="20"/>
              </w:rPr>
              <w:t>3</w:t>
            </w:r>
          </w:p>
        </w:tc>
        <w:tc>
          <w:tcPr>
            <w:tcW w:type="dxa" w:w="3024"/>
          </w:tcPr>
          <w:p>
            <w:r>
              <w:rPr>
                <w:rFonts w:ascii="Times New Roman" w:hAnsi="Times New Roman"/>
                <w:sz w:val="20"/>
              </w:rPr>
              <w:t>Mittel</w:t>
            </w:r>
          </w:p>
        </w:tc>
      </w:tr>
      <w:tr>
        <w:tc>
          <w:tcPr>
            <w:tcW w:type="dxa" w:w="3024"/>
          </w:tcPr>
          <w:p>
            <w:r>
              <w:rPr>
                <w:rFonts w:ascii="Times New Roman" w:hAnsi="Times New Roman"/>
                <w:b/>
                <w:sz w:val="20"/>
              </w:rPr>
              <w:t>Gesamt</w:t>
            </w:r>
          </w:p>
        </w:tc>
        <w:tc>
          <w:tcPr>
            <w:tcW w:type="dxa" w:w="3024"/>
          </w:tcPr>
          <w:p>
            <w:r>
              <w:rPr>
                <w:rFonts w:ascii="Times New Roman" w:hAnsi="Times New Roman"/>
                <w:b/>
                <w:sz w:val="20"/>
              </w:rPr>
              <w:t>40</w:t>
            </w:r>
          </w:p>
        </w:tc>
        <w:tc>
          <w:tcPr>
            <w:tcW w:type="dxa" w:w="3024"/>
          </w:tcPr>
          <w:p>
            <w:r>
              <w:rPr>
                <w:rFonts w:ascii="Times New Roman" w:hAnsi="Times New Roman"/>
                <w:b/>
                <w:sz w:val="20"/>
              </w:rPr>
              <w:t>Hoch (gewichtet)</w:t>
            </w:r>
          </w:p>
        </w:tc>
      </w:tr>
    </w:tbl>
    <w:p/>
    <w:p>
      <w:pPr>
        <w:pStyle w:val="Heading2"/>
      </w:pPr>
      <w:r>
        <w:rPr>
          <w:rFonts w:ascii="Times New Roman" w:hAnsi="Times New Roman"/>
        </w:rPr>
        <w:t>4. Maßnahmenplan</w:t>
      </w:r>
    </w:p>
    <w:p>
      <w:pPr>
        <w:pStyle w:val="Heading3"/>
      </w:pPr>
      <w:r>
        <w:rPr>
          <w:rFonts w:ascii="Times New Roman" w:hAnsi="Times New Roman"/>
        </w:rPr>
        <w:t>Sofortmaßnahmen (bis 30. April 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Maßnahme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Frist</w:t>
            </w:r>
          </w:p>
        </w:tc>
      </w:tr>
      <w:tr>
        <w:tc>
          <w:tcPr>
            <w:tcW w:type="dxa" w:w="2268"/>
          </w:tcPr>
          <w:p>
            <w:r>
              <w:rPr>
                <w:rFonts w:ascii="Times New Roman" w:hAnsi="Times New Roman"/>
                <w:sz w:val="20"/>
              </w:rPr>
              <w:t>1</w:t>
            </w:r>
          </w:p>
        </w:tc>
        <w:tc>
          <w:tcPr>
            <w:tcW w:type="dxa" w:w="2268"/>
          </w:tcPr>
          <w:p>
            <w:r>
              <w:rPr>
                <w:rFonts w:ascii="Times New Roman" w:hAnsi="Times New Roman"/>
                <w:sz w:val="20"/>
              </w:rPr>
              <w:t>Schriftliche Export-Compliance-Policy erstellen und durch GF unterzeichnen lassen</w:t>
            </w:r>
          </w:p>
        </w:tc>
        <w:tc>
          <w:tcPr>
            <w:tcW w:type="dxa" w:w="2268"/>
          </w:tcPr>
          <w:p>
            <w:r>
              <w:rPr>
                <w:rFonts w:ascii="Times New Roman" w:hAnsi="Times New Roman"/>
                <w:sz w:val="20"/>
              </w:rPr>
              <w:t>Dr. Brennecke</w:t>
            </w:r>
          </w:p>
        </w:tc>
        <w:tc>
          <w:tcPr>
            <w:tcW w:type="dxa" w:w="2268"/>
          </w:tcPr>
          <w:p>
            <w:r>
              <w:rPr>
                <w:rFonts w:ascii="Times New Roman" w:hAnsi="Times New Roman"/>
                <w:sz w:val="20"/>
              </w:rPr>
              <w:t>25.04.2026</w:t>
            </w:r>
          </w:p>
        </w:tc>
      </w:tr>
      <w:tr>
        <w:tc>
          <w:tcPr>
            <w:tcW w:type="dxa" w:w="2268"/>
          </w:tcPr>
          <w:p>
            <w:r>
              <w:rPr>
                <w:rFonts w:ascii="Times New Roman" w:hAnsi="Times New Roman"/>
                <w:sz w:val="20"/>
              </w:rPr>
              <w:t>2</w:t>
            </w:r>
          </w:p>
        </w:tc>
        <w:tc>
          <w:tcPr>
            <w:tcW w:type="dxa" w:w="2268"/>
          </w:tcPr>
          <w:p>
            <w:r>
              <w:rPr>
                <w:rFonts w:ascii="Times New Roman" w:hAnsi="Times New Roman"/>
                <w:sz w:val="20"/>
              </w:rPr>
              <w:t>Transaktionsbezogenes Sanktionsscreening für alle offenen Aufträge nachholen</w:t>
            </w:r>
          </w:p>
        </w:tc>
        <w:tc>
          <w:tcPr>
            <w:tcW w:type="dxa" w:w="2268"/>
          </w:tcPr>
          <w:p>
            <w:r>
              <w:rPr>
                <w:rFonts w:ascii="Times New Roman" w:hAnsi="Times New Roman"/>
                <w:sz w:val="20"/>
              </w:rPr>
              <w:t>Mehlhorn</w:t>
            </w:r>
          </w:p>
        </w:tc>
        <w:tc>
          <w:tcPr>
            <w:tcW w:type="dxa" w:w="2268"/>
          </w:tcPr>
          <w:p>
            <w:r>
              <w:rPr>
                <w:rFonts w:ascii="Times New Roman" w:hAnsi="Times New Roman"/>
                <w:sz w:val="20"/>
              </w:rPr>
              <w:t>22.04.2026</w:t>
            </w:r>
          </w:p>
        </w:tc>
      </w:tr>
      <w:tr>
        <w:tc>
          <w:tcPr>
            <w:tcW w:type="dxa" w:w="2268"/>
          </w:tcPr>
          <w:p>
            <w:r>
              <w:rPr>
                <w:rFonts w:ascii="Times New Roman" w:hAnsi="Times New Roman"/>
                <w:sz w:val="20"/>
              </w:rPr>
              <w:t>3</w:t>
            </w:r>
          </w:p>
        </w:tc>
        <w:tc>
          <w:tcPr>
            <w:tcW w:type="dxa" w:w="2268"/>
          </w:tcPr>
          <w:p>
            <w:r>
              <w:rPr>
                <w:rFonts w:ascii="Times New Roman" w:hAnsi="Times New Roman"/>
                <w:sz w:val="20"/>
              </w:rPr>
              <w:t>Liefersperre für alle GX-900-Sendungen aufrechterhalten</w:t>
            </w:r>
          </w:p>
        </w:tc>
        <w:tc>
          <w:tcPr>
            <w:tcW w:type="dxa" w:w="2268"/>
          </w:tcPr>
          <w:p>
            <w:r>
              <w:rPr>
                <w:rFonts w:ascii="Times New Roman" w:hAnsi="Times New Roman"/>
                <w:sz w:val="20"/>
              </w:rPr>
              <w:t>Vogt (GF)</w:t>
            </w:r>
          </w:p>
        </w:tc>
        <w:tc>
          <w:tcPr>
            <w:tcW w:type="dxa" w:w="2268"/>
          </w:tcPr>
          <w:p>
            <w:r>
              <w:rPr>
                <w:rFonts w:ascii="Times New Roman" w:hAnsi="Times New Roman"/>
                <w:sz w:val="20"/>
              </w:rPr>
              <w:t>fortlaufend</w:t>
            </w:r>
          </w:p>
        </w:tc>
      </w:tr>
      <w:tr>
        <w:tc>
          <w:tcPr>
            <w:tcW w:type="dxa" w:w="2268"/>
          </w:tcPr>
          <w:p>
            <w:r>
              <w:rPr>
                <w:rFonts w:ascii="Times New Roman" w:hAnsi="Times New Roman"/>
                <w:sz w:val="20"/>
              </w:rPr>
              <w:t>4</w:t>
            </w:r>
          </w:p>
        </w:tc>
        <w:tc>
          <w:tcPr>
            <w:tcW w:type="dxa" w:w="2268"/>
          </w:tcPr>
          <w:p>
            <w:r>
              <w:rPr>
                <w:rFonts w:ascii="Times New Roman" w:hAnsi="Times New Roman"/>
                <w:sz w:val="20"/>
              </w:rPr>
              <w:t>Legal Hold bestätigen und dokumentieren</w:t>
            </w:r>
          </w:p>
        </w:tc>
        <w:tc>
          <w:tcPr>
            <w:tcW w:type="dxa" w:w="2268"/>
          </w:tcPr>
          <w:p>
            <w:r>
              <w:rPr>
                <w:rFonts w:ascii="Times New Roman" w:hAnsi="Times New Roman"/>
                <w:sz w:val="20"/>
              </w:rPr>
              <w:t>Dr. Brennecke</w:t>
            </w:r>
          </w:p>
        </w:tc>
        <w:tc>
          <w:tcPr>
            <w:tcW w:type="dxa" w:w="2268"/>
          </w:tcPr>
          <w:p>
            <w:r>
              <w:rPr>
                <w:rFonts w:ascii="Times New Roman" w:hAnsi="Times New Roman"/>
                <w:sz w:val="20"/>
              </w:rPr>
              <w:t>abgeschlossen</w:t>
            </w:r>
          </w:p>
        </w:tc>
      </w:tr>
      <w:tr>
        <w:tc>
          <w:tcPr>
            <w:tcW w:type="dxa" w:w="2268"/>
          </w:tcPr>
          <w:p>
            <w:r>
              <w:rPr>
                <w:rFonts w:ascii="Times New Roman" w:hAnsi="Times New Roman"/>
                <w:sz w:val="20"/>
              </w:rPr>
              <w:t>5</w:t>
            </w:r>
          </w:p>
        </w:tc>
        <w:tc>
          <w:tcPr>
            <w:tcW w:type="dxa" w:w="2268"/>
          </w:tcPr>
          <w:p>
            <w:r>
              <w:rPr>
                <w:rFonts w:ascii="Times New Roman" w:hAnsi="Times New Roman"/>
                <w:sz w:val="20"/>
              </w:rPr>
              <w:t>FIU-Meldung prüfen und ggf. erstatten</w:t>
            </w:r>
          </w:p>
        </w:tc>
        <w:tc>
          <w:tcPr>
            <w:tcW w:type="dxa" w:w="2268"/>
          </w:tcPr>
          <w:p>
            <w:r>
              <w:rPr>
                <w:rFonts w:ascii="Times New Roman" w:hAnsi="Times New Roman"/>
                <w:sz w:val="20"/>
              </w:rPr>
              <w:t>Dr. Brennecke</w:t>
            </w:r>
          </w:p>
        </w:tc>
        <w:tc>
          <w:tcPr>
            <w:tcW w:type="dxa" w:w="2268"/>
          </w:tcPr>
          <w:p>
            <w:r>
              <w:rPr>
                <w:rFonts w:ascii="Times New Roman" w:hAnsi="Times New Roman"/>
                <w:sz w:val="20"/>
              </w:rPr>
              <w:t>19.04.2026</w:t>
            </w:r>
          </w:p>
        </w:tc>
      </w:tr>
      <w:tr>
        <w:tc>
          <w:tcPr>
            <w:tcW w:type="dxa" w:w="2268"/>
          </w:tcPr>
          <w:p>
            <w:r>
              <w:rPr>
                <w:rFonts w:ascii="Times New Roman" w:hAnsi="Times New Roman"/>
                <w:sz w:val="20"/>
              </w:rPr>
              <w:t>6</w:t>
            </w:r>
          </w:p>
        </w:tc>
        <w:tc>
          <w:tcPr>
            <w:tcW w:type="dxa" w:w="2268"/>
          </w:tcPr>
          <w:p>
            <w:r>
              <w:rPr>
                <w:rFonts w:ascii="Times New Roman" w:hAnsi="Times New Roman"/>
                <w:sz w:val="20"/>
              </w:rPr>
              <w:t>AWV-Nachmeldungen für Jan–Mrz 2026 an Bundesbank erstatten</w:t>
            </w:r>
          </w:p>
        </w:tc>
        <w:tc>
          <w:tcPr>
            <w:tcW w:type="dxa" w:w="2268"/>
          </w:tcPr>
          <w:p>
            <w:r>
              <w:rPr>
                <w:rFonts w:ascii="Times New Roman" w:hAnsi="Times New Roman"/>
                <w:sz w:val="20"/>
              </w:rPr>
              <w:t>Schramm</w:t>
            </w:r>
          </w:p>
        </w:tc>
        <w:tc>
          <w:tcPr>
            <w:tcW w:type="dxa" w:w="2268"/>
          </w:tcPr>
          <w:p>
            <w:r>
              <w:rPr>
                <w:rFonts w:ascii="Times New Roman" w:hAnsi="Times New Roman"/>
                <w:sz w:val="20"/>
              </w:rPr>
              <w:t>30.04.2026</w:t>
            </w:r>
          </w:p>
        </w:tc>
      </w:tr>
    </w:tbl>
    <w:p>
      <w:pPr>
        <w:pStyle w:val="Heading3"/>
      </w:pPr>
      <w:r>
        <w:rPr>
          <w:rFonts w:ascii="Times New Roman" w:hAnsi="Times New Roman"/>
        </w:rPr>
        <w:t>Kurzfristige Maßnahmen (bis 30. Juni 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Maßnahme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Frist</w:t>
            </w:r>
          </w:p>
        </w:tc>
      </w:tr>
      <w:tr>
        <w:tc>
          <w:tcPr>
            <w:tcW w:type="dxa" w:w="2268"/>
          </w:tcPr>
          <w:p>
            <w:r>
              <w:rPr>
                <w:rFonts w:ascii="Times New Roman" w:hAnsi="Times New Roman"/>
                <w:sz w:val="20"/>
              </w:rPr>
              <w:t>7</w:t>
            </w:r>
          </w:p>
        </w:tc>
        <w:tc>
          <w:tcPr>
            <w:tcW w:type="dxa" w:w="2268"/>
          </w:tcPr>
          <w:p>
            <w:r>
              <w:rPr>
                <w:rFonts w:ascii="Times New Roman" w:hAnsi="Times New Roman"/>
                <w:sz w:val="20"/>
              </w:rPr>
              <w:t>Güterklassifizierungsliste in ERP-System überführen (mit Freigabeworkflow)</w:t>
            </w:r>
          </w:p>
        </w:tc>
        <w:tc>
          <w:tcPr>
            <w:tcW w:type="dxa" w:w="2268"/>
          </w:tcPr>
          <w:p>
            <w:r>
              <w:rPr>
                <w:rFonts w:ascii="Times New Roman" w:hAnsi="Times New Roman"/>
                <w:sz w:val="20"/>
              </w:rPr>
              <w:t>IT + Hofstädter</w:t>
            </w:r>
          </w:p>
        </w:tc>
        <w:tc>
          <w:tcPr>
            <w:tcW w:type="dxa" w:w="2268"/>
          </w:tcPr>
          <w:p>
            <w:r>
              <w:rPr>
                <w:rFonts w:ascii="Times New Roman" w:hAnsi="Times New Roman"/>
                <w:sz w:val="20"/>
              </w:rPr>
              <w:t>31.05.2026</w:t>
            </w:r>
          </w:p>
        </w:tc>
      </w:tr>
      <w:tr>
        <w:tc>
          <w:tcPr>
            <w:tcW w:type="dxa" w:w="2268"/>
          </w:tcPr>
          <w:p>
            <w:r>
              <w:rPr>
                <w:rFonts w:ascii="Times New Roman" w:hAnsi="Times New Roman"/>
                <w:sz w:val="20"/>
              </w:rPr>
              <w:t>8</w:t>
            </w:r>
          </w:p>
        </w:tc>
        <w:tc>
          <w:tcPr>
            <w:tcW w:type="dxa" w:w="2268"/>
          </w:tcPr>
          <w:p>
            <w:r>
              <w:rPr>
                <w:rFonts w:ascii="Times New Roman" w:hAnsi="Times New Roman"/>
                <w:sz w:val="20"/>
              </w:rPr>
              <w:t>Screening-Workflow auf Pre-Order-Stufe vorverlagern</w:t>
            </w:r>
          </w:p>
        </w:tc>
        <w:tc>
          <w:tcPr>
            <w:tcW w:type="dxa" w:w="2268"/>
          </w:tcPr>
          <w:p>
            <w:r>
              <w:rPr>
                <w:rFonts w:ascii="Times New Roman" w:hAnsi="Times New Roman"/>
                <w:sz w:val="20"/>
              </w:rPr>
              <w:t>IT + Mehlhorn</w:t>
            </w:r>
          </w:p>
        </w:tc>
        <w:tc>
          <w:tcPr>
            <w:tcW w:type="dxa" w:w="2268"/>
          </w:tcPr>
          <w:p>
            <w:r>
              <w:rPr>
                <w:rFonts w:ascii="Times New Roman" w:hAnsi="Times New Roman"/>
                <w:sz w:val="20"/>
              </w:rPr>
              <w:t>31.05.2026</w:t>
            </w:r>
          </w:p>
        </w:tc>
      </w:tr>
      <w:tr>
        <w:tc>
          <w:tcPr>
            <w:tcW w:type="dxa" w:w="2268"/>
          </w:tcPr>
          <w:p>
            <w:r>
              <w:rPr>
                <w:rFonts w:ascii="Times New Roman" w:hAnsi="Times New Roman"/>
                <w:sz w:val="20"/>
              </w:rPr>
              <w:t>9</w:t>
            </w:r>
          </w:p>
        </w:tc>
        <w:tc>
          <w:tcPr>
            <w:tcW w:type="dxa" w:w="2268"/>
          </w:tcPr>
          <w:p>
            <w:r>
              <w:rPr>
                <w:rFonts w:ascii="Times New Roman" w:hAnsi="Times New Roman"/>
                <w:sz w:val="20"/>
              </w:rPr>
              <w:t>Red-Flag-Checkliste einführen (Händler-Onboarding)</w:t>
            </w:r>
          </w:p>
        </w:tc>
        <w:tc>
          <w:tcPr>
            <w:tcW w:type="dxa" w:w="2268"/>
          </w:tcPr>
          <w:p>
            <w:r>
              <w:rPr>
                <w:rFonts w:ascii="Times New Roman" w:hAnsi="Times New Roman"/>
                <w:sz w:val="20"/>
              </w:rPr>
              <w:t>Brennecke</w:t>
            </w:r>
          </w:p>
        </w:tc>
        <w:tc>
          <w:tcPr>
            <w:tcW w:type="dxa" w:w="2268"/>
          </w:tcPr>
          <w:p>
            <w:r>
              <w:rPr>
                <w:rFonts w:ascii="Times New Roman" w:hAnsi="Times New Roman"/>
                <w:sz w:val="20"/>
              </w:rPr>
              <w:t>15.05.2026</w:t>
            </w:r>
          </w:p>
        </w:tc>
      </w:tr>
      <w:tr>
        <w:tc>
          <w:tcPr>
            <w:tcW w:type="dxa" w:w="2268"/>
          </w:tcPr>
          <w:p>
            <w:r>
              <w:rPr>
                <w:rFonts w:ascii="Times New Roman" w:hAnsi="Times New Roman"/>
                <w:sz w:val="20"/>
              </w:rPr>
              <w:t>10</w:t>
            </w:r>
          </w:p>
        </w:tc>
        <w:tc>
          <w:tcPr>
            <w:tcW w:type="dxa" w:w="2268"/>
          </w:tcPr>
          <w:p>
            <w:r>
              <w:rPr>
                <w:rFonts w:ascii="Times New Roman" w:hAnsi="Times New Roman"/>
                <w:sz w:val="20"/>
              </w:rPr>
              <w:t>Standard-EUC-Vorlage entwickeln und für alle Drittlandslieferungen einführen</w:t>
            </w:r>
          </w:p>
        </w:tc>
        <w:tc>
          <w:tcPr>
            <w:tcW w:type="dxa" w:w="2268"/>
          </w:tcPr>
          <w:p>
            <w:r>
              <w:rPr>
                <w:rFonts w:ascii="Times New Roman" w:hAnsi="Times New Roman"/>
                <w:sz w:val="20"/>
              </w:rPr>
              <w:t>Hofstädter</w:t>
            </w:r>
          </w:p>
        </w:tc>
        <w:tc>
          <w:tcPr>
            <w:tcW w:type="dxa" w:w="2268"/>
          </w:tcPr>
          <w:p>
            <w:r>
              <w:rPr>
                <w:rFonts w:ascii="Times New Roman" w:hAnsi="Times New Roman"/>
                <w:sz w:val="20"/>
              </w:rPr>
              <w:t>31.05.2026</w:t>
            </w:r>
          </w:p>
        </w:tc>
      </w:tr>
      <w:tr>
        <w:tc>
          <w:tcPr>
            <w:tcW w:type="dxa" w:w="2268"/>
          </w:tcPr>
          <w:p>
            <w:r>
              <w:rPr>
                <w:rFonts w:ascii="Times New Roman" w:hAnsi="Times New Roman"/>
                <w:sz w:val="20"/>
              </w:rPr>
              <w:t>11</w:t>
            </w:r>
          </w:p>
        </w:tc>
        <w:tc>
          <w:tcPr>
            <w:tcW w:type="dxa" w:w="2268"/>
          </w:tcPr>
          <w:p>
            <w:r>
              <w:rPr>
                <w:rFonts w:ascii="Times New Roman" w:hAnsi="Times New Roman"/>
                <w:sz w:val="20"/>
              </w:rPr>
              <w:t>Vertragsmuster für Händlerverträge (inkl. Art. 12g VO 833/2014) überarbeiten</w:t>
            </w:r>
          </w:p>
        </w:tc>
        <w:tc>
          <w:tcPr>
            <w:tcW w:type="dxa" w:w="2268"/>
          </w:tcPr>
          <w:p>
            <w:r>
              <w:rPr>
                <w:rFonts w:ascii="Times New Roman" w:hAnsi="Times New Roman"/>
                <w:sz w:val="20"/>
              </w:rPr>
              <w:t>Dr. Brennecke</w:t>
            </w:r>
          </w:p>
        </w:tc>
        <w:tc>
          <w:tcPr>
            <w:tcW w:type="dxa" w:w="2268"/>
          </w:tcPr>
          <w:p>
            <w:r>
              <w:rPr>
                <w:rFonts w:ascii="Times New Roman" w:hAnsi="Times New Roman"/>
                <w:sz w:val="20"/>
              </w:rPr>
              <w:t>31.05.2026</w:t>
            </w:r>
          </w:p>
        </w:tc>
      </w:tr>
      <w:tr>
        <w:tc>
          <w:tcPr>
            <w:tcW w:type="dxa" w:w="2268"/>
          </w:tcPr>
          <w:p>
            <w:r>
              <w:rPr>
                <w:rFonts w:ascii="Times New Roman" w:hAnsi="Times New Roman"/>
                <w:sz w:val="20"/>
              </w:rPr>
              <w:t>12</w:t>
            </w:r>
          </w:p>
        </w:tc>
        <w:tc>
          <w:tcPr>
            <w:tcW w:type="dxa" w:w="2268"/>
          </w:tcPr>
          <w:p>
            <w:r>
              <w:rPr>
                <w:rFonts w:ascii="Times New Roman" w:hAnsi="Times New Roman"/>
                <w:sz w:val="20"/>
              </w:rPr>
              <w:t>CBAM-Verantwortlichen benennen; Q1/2026-Bericht CBAM-Portal einreichen</w:t>
            </w:r>
          </w:p>
        </w:tc>
        <w:tc>
          <w:tcPr>
            <w:tcW w:type="dxa" w:w="2268"/>
          </w:tcPr>
          <w:p>
            <w:r>
              <w:rPr>
                <w:rFonts w:ascii="Times New Roman" w:hAnsi="Times New Roman"/>
                <w:sz w:val="20"/>
              </w:rPr>
              <w:t>Schramm</w:t>
            </w:r>
          </w:p>
        </w:tc>
        <w:tc>
          <w:tcPr>
            <w:tcW w:type="dxa" w:w="2268"/>
          </w:tcPr>
          <w:p>
            <w:r>
              <w:rPr>
                <w:rFonts w:ascii="Times New Roman" w:hAnsi="Times New Roman"/>
                <w:sz w:val="20"/>
              </w:rPr>
              <w:t>15.06.2026</w:t>
            </w:r>
          </w:p>
        </w:tc>
      </w:tr>
      <w:tr>
        <w:tc>
          <w:tcPr>
            <w:tcW w:type="dxa" w:w="2268"/>
          </w:tcPr>
          <w:p>
            <w:r>
              <w:rPr>
                <w:rFonts w:ascii="Times New Roman" w:hAnsi="Times New Roman"/>
                <w:sz w:val="20"/>
              </w:rPr>
              <w:t>13</w:t>
            </w:r>
          </w:p>
        </w:tc>
        <w:tc>
          <w:tcPr>
            <w:tcW w:type="dxa" w:w="2268"/>
          </w:tcPr>
          <w:p>
            <w:r>
              <w:rPr>
                <w:rFonts w:ascii="Times New Roman" w:hAnsi="Times New Roman"/>
                <w:sz w:val="20"/>
              </w:rPr>
              <w:t>Grundschulung Exportkontrolle für alle Mitarbeitern im Vertrieb (4 h)</w:t>
            </w:r>
          </w:p>
        </w:tc>
        <w:tc>
          <w:tcPr>
            <w:tcW w:type="dxa" w:w="2268"/>
          </w:tcPr>
          <w:p>
            <w:r>
              <w:rPr>
                <w:rFonts w:ascii="Times New Roman" w:hAnsi="Times New Roman"/>
                <w:sz w:val="20"/>
              </w:rPr>
              <w:t>Hofstädter</w:t>
            </w:r>
          </w:p>
        </w:tc>
        <w:tc>
          <w:tcPr>
            <w:tcW w:type="dxa" w:w="2268"/>
          </w:tcPr>
          <w:p>
            <w:r>
              <w:rPr>
                <w:rFonts w:ascii="Times New Roman" w:hAnsi="Times New Roman"/>
                <w:sz w:val="20"/>
              </w:rPr>
              <w:t>30.05.2026</w:t>
            </w:r>
          </w:p>
        </w:tc>
      </w:tr>
    </w:tbl>
    <w:p>
      <w:pPr>
        <w:pStyle w:val="Heading3"/>
      </w:pPr>
      <w:r>
        <w:rPr>
          <w:rFonts w:ascii="Times New Roman" w:hAnsi="Times New Roman"/>
        </w:rPr>
        <w:t>Mittelfristige Maßnahmen (bis 31. Dezember 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t>
            </w:r>
          </w:p>
        </w:tc>
        <w:tc>
          <w:tcPr>
            <w:tcW w:type="dxa" w:w="2268"/>
          </w:tcPr>
          <w:p>
            <w:r>
              <w:rPr>
                <w:rFonts w:ascii="Times New Roman" w:hAnsi="Times New Roman"/>
                <w:b/>
                <w:sz w:val="20"/>
              </w:rPr>
              <w:t>Maßnahme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Frist</w:t>
            </w:r>
          </w:p>
        </w:tc>
      </w:tr>
      <w:tr>
        <w:tc>
          <w:tcPr>
            <w:tcW w:type="dxa" w:w="2268"/>
          </w:tcPr>
          <w:p>
            <w:r>
              <w:rPr>
                <w:rFonts w:ascii="Times New Roman" w:hAnsi="Times New Roman"/>
                <w:sz w:val="20"/>
              </w:rPr>
              <w:t>14</w:t>
            </w:r>
          </w:p>
        </w:tc>
        <w:tc>
          <w:tcPr>
            <w:tcW w:type="dxa" w:w="2268"/>
          </w:tcPr>
          <w:p>
            <w:r>
              <w:rPr>
                <w:rFonts w:ascii="Times New Roman" w:hAnsi="Times New Roman"/>
                <w:sz w:val="20"/>
              </w:rPr>
              <w:t>ICP-Handbuch erstellen (alle Prozesse dokumentiert)</w:t>
            </w:r>
          </w:p>
        </w:tc>
        <w:tc>
          <w:tcPr>
            <w:tcW w:type="dxa" w:w="2268"/>
          </w:tcPr>
          <w:p>
            <w:r>
              <w:rPr>
                <w:rFonts w:ascii="Times New Roman" w:hAnsi="Times New Roman"/>
                <w:sz w:val="20"/>
              </w:rPr>
              <w:t>Brennecke + Hofstädter</w:t>
            </w:r>
          </w:p>
        </w:tc>
        <w:tc>
          <w:tcPr>
            <w:tcW w:type="dxa" w:w="2268"/>
          </w:tcPr>
          <w:p>
            <w:r>
              <w:rPr>
                <w:rFonts w:ascii="Times New Roman" w:hAnsi="Times New Roman"/>
                <w:sz w:val="20"/>
              </w:rPr>
              <w:t>30.09.2026</w:t>
            </w:r>
          </w:p>
        </w:tc>
      </w:tr>
      <w:tr>
        <w:tc>
          <w:tcPr>
            <w:tcW w:type="dxa" w:w="2268"/>
          </w:tcPr>
          <w:p>
            <w:r>
              <w:rPr>
                <w:rFonts w:ascii="Times New Roman" w:hAnsi="Times New Roman"/>
                <w:sz w:val="20"/>
              </w:rPr>
              <w:t>15</w:t>
            </w:r>
          </w:p>
        </w:tc>
        <w:tc>
          <w:tcPr>
            <w:tcW w:type="dxa" w:w="2268"/>
          </w:tcPr>
          <w:p>
            <w:r>
              <w:rPr>
                <w:rFonts w:ascii="Times New Roman" w:hAnsi="Times New Roman"/>
                <w:sz w:val="20"/>
              </w:rPr>
              <w:t>ICP-Audit durch externen Exportkontrollberater</w:t>
            </w:r>
          </w:p>
        </w:tc>
        <w:tc>
          <w:tcPr>
            <w:tcW w:type="dxa" w:w="2268"/>
          </w:tcPr>
          <w:p>
            <w:r>
              <w:rPr>
                <w:rFonts w:ascii="Times New Roman" w:hAnsi="Times New Roman"/>
                <w:sz w:val="20"/>
              </w:rPr>
              <w:t>Extern</w:t>
            </w:r>
          </w:p>
        </w:tc>
        <w:tc>
          <w:tcPr>
            <w:tcW w:type="dxa" w:w="2268"/>
          </w:tcPr>
          <w:p>
            <w:r>
              <w:rPr>
                <w:rFonts w:ascii="Times New Roman" w:hAnsi="Times New Roman"/>
                <w:sz w:val="20"/>
              </w:rPr>
              <w:t>30.11.2026</w:t>
            </w:r>
          </w:p>
        </w:tc>
      </w:tr>
      <w:tr>
        <w:tc>
          <w:tcPr>
            <w:tcW w:type="dxa" w:w="2268"/>
          </w:tcPr>
          <w:p>
            <w:r>
              <w:rPr>
                <w:rFonts w:ascii="Times New Roman" w:hAnsi="Times New Roman"/>
                <w:sz w:val="20"/>
              </w:rPr>
              <w:t>16</w:t>
            </w:r>
          </w:p>
        </w:tc>
        <w:tc>
          <w:tcPr>
            <w:tcW w:type="dxa" w:w="2268"/>
          </w:tcPr>
          <w:p>
            <w:r>
              <w:rPr>
                <w:rFonts w:ascii="Times New Roman" w:hAnsi="Times New Roman"/>
                <w:sz w:val="20"/>
              </w:rPr>
              <w:t>Sanktionsscreening-Tool in ERP integrieren (API WorldCheck)</w:t>
            </w:r>
          </w:p>
        </w:tc>
        <w:tc>
          <w:tcPr>
            <w:tcW w:type="dxa" w:w="2268"/>
          </w:tcPr>
          <w:p>
            <w:r>
              <w:rPr>
                <w:rFonts w:ascii="Times New Roman" w:hAnsi="Times New Roman"/>
                <w:sz w:val="20"/>
              </w:rPr>
              <w:t>IT</w:t>
            </w:r>
          </w:p>
        </w:tc>
        <w:tc>
          <w:tcPr>
            <w:tcW w:type="dxa" w:w="2268"/>
          </w:tcPr>
          <w:p>
            <w:r>
              <w:rPr>
                <w:rFonts w:ascii="Times New Roman" w:hAnsi="Times New Roman"/>
                <w:sz w:val="20"/>
              </w:rPr>
              <w:t>30.09.2026</w:t>
            </w:r>
          </w:p>
        </w:tc>
      </w:tr>
      <w:tr>
        <w:tc>
          <w:tcPr>
            <w:tcW w:type="dxa" w:w="2268"/>
          </w:tcPr>
          <w:p>
            <w:r>
              <w:rPr>
                <w:rFonts w:ascii="Times New Roman" w:hAnsi="Times New Roman"/>
                <w:sz w:val="20"/>
              </w:rPr>
              <w:t>17</w:t>
            </w:r>
          </w:p>
        </w:tc>
        <w:tc>
          <w:tcPr>
            <w:tcW w:type="dxa" w:w="2268"/>
          </w:tcPr>
          <w:p>
            <w:r>
              <w:rPr>
                <w:rFonts w:ascii="Times New Roman" w:hAnsi="Times New Roman"/>
                <w:sz w:val="20"/>
              </w:rPr>
              <w:t>BAFA-Dialogue: Freiwillige Selbstanzeige und ICP-Verbesserungsprogramm kommunizieren</w:t>
            </w:r>
          </w:p>
        </w:tc>
        <w:tc>
          <w:tcPr>
            <w:tcW w:type="dxa" w:w="2268"/>
          </w:tcPr>
          <w:p>
            <w:r>
              <w:rPr>
                <w:rFonts w:ascii="Times New Roman" w:hAnsi="Times New Roman"/>
                <w:sz w:val="20"/>
              </w:rPr>
              <w:t>Dr. Brennecke</w:t>
            </w:r>
          </w:p>
        </w:tc>
        <w:tc>
          <w:tcPr>
            <w:tcW w:type="dxa" w:w="2268"/>
          </w:tcPr>
          <w:p>
            <w:r>
              <w:rPr>
                <w:rFonts w:ascii="Times New Roman" w:hAnsi="Times New Roman"/>
                <w:sz w:val="20"/>
              </w:rPr>
              <w:t>31.05.2026</w:t>
            </w:r>
          </w:p>
        </w:tc>
      </w:tr>
      <w:tr>
        <w:tc>
          <w:tcPr>
            <w:tcW w:type="dxa" w:w="2268"/>
          </w:tcPr>
          <w:p>
            <w:r>
              <w:rPr>
                <w:rFonts w:ascii="Times New Roman" w:hAnsi="Times New Roman"/>
                <w:sz w:val="20"/>
              </w:rPr>
              <w:t>18</w:t>
            </w:r>
          </w:p>
        </w:tc>
        <w:tc>
          <w:tcPr>
            <w:tcW w:type="dxa" w:w="2268"/>
          </w:tcPr>
          <w:p>
            <w:r>
              <w:rPr>
                <w:rFonts w:ascii="Times New Roman" w:hAnsi="Times New Roman"/>
                <w:sz w:val="20"/>
              </w:rPr>
              <w:t>REX-Registrierung beantragen</w:t>
            </w:r>
          </w:p>
        </w:tc>
        <w:tc>
          <w:tcPr>
            <w:tcW w:type="dxa" w:w="2268"/>
          </w:tcPr>
          <w:p>
            <w:r>
              <w:rPr>
                <w:rFonts w:ascii="Times New Roman" w:hAnsi="Times New Roman"/>
                <w:sz w:val="20"/>
              </w:rPr>
              <w:t>Schramm</w:t>
            </w:r>
          </w:p>
        </w:tc>
        <w:tc>
          <w:tcPr>
            <w:tcW w:type="dxa" w:w="2268"/>
          </w:tcPr>
          <w:p>
            <w:r>
              <w:rPr>
                <w:rFonts w:ascii="Times New Roman" w:hAnsi="Times New Roman"/>
                <w:sz w:val="20"/>
              </w:rPr>
              <w:t>30.04.2026</w:t>
            </w:r>
          </w:p>
        </w:tc>
      </w:tr>
      <w:tr>
        <w:tc>
          <w:tcPr>
            <w:tcW w:type="dxa" w:w="2268"/>
          </w:tcPr>
          <w:p>
            <w:r>
              <w:rPr>
                <w:rFonts w:ascii="Times New Roman" w:hAnsi="Times New Roman"/>
                <w:sz w:val="20"/>
              </w:rPr>
              <w:t>19</w:t>
            </w:r>
          </w:p>
        </w:tc>
        <w:tc>
          <w:tcPr>
            <w:tcW w:type="dxa" w:w="2268"/>
          </w:tcPr>
          <w:p>
            <w:r>
              <w:rPr>
                <w:rFonts w:ascii="Times New Roman" w:hAnsi="Times New Roman"/>
                <w:sz w:val="20"/>
              </w:rPr>
              <w:t>Energiesteuer-Compliance (Steuerlager-Bewilligung, Entlastungsanträge)</w:t>
            </w:r>
          </w:p>
        </w:tc>
        <w:tc>
          <w:tcPr>
            <w:tcW w:type="dxa" w:w="2268"/>
          </w:tcPr>
          <w:p>
            <w:r>
              <w:rPr>
                <w:rFonts w:ascii="Times New Roman" w:hAnsi="Times New Roman"/>
                <w:sz w:val="20"/>
              </w:rPr>
              <w:t>Schramm</w:t>
            </w:r>
          </w:p>
        </w:tc>
        <w:tc>
          <w:tcPr>
            <w:tcW w:type="dxa" w:w="2268"/>
          </w:tcPr>
          <w:p>
            <w:r>
              <w:rPr>
                <w:rFonts w:ascii="Times New Roman" w:hAnsi="Times New Roman"/>
                <w:sz w:val="20"/>
              </w:rPr>
              <w:t>30.06.2026</w:t>
            </w:r>
          </w:p>
        </w:tc>
      </w:tr>
      <w:tr>
        <w:tc>
          <w:tcPr>
            <w:tcW w:type="dxa" w:w="2268"/>
          </w:tcPr>
          <w:p>
            <w:r>
              <w:rPr>
                <w:rFonts w:ascii="Times New Roman" w:hAnsi="Times New Roman"/>
                <w:sz w:val="20"/>
              </w:rPr>
              <w:t>20</w:t>
            </w:r>
          </w:p>
        </w:tc>
        <w:tc>
          <w:tcPr>
            <w:tcW w:type="dxa" w:w="2268"/>
          </w:tcPr>
          <w:p>
            <w:r>
              <w:rPr>
                <w:rFonts w:ascii="Times New Roman" w:hAnsi="Times New Roman"/>
                <w:sz w:val="20"/>
              </w:rPr>
              <w:t>Jährlicher ICP-Review-Termin im Kalender der GF verankern (12/2026 + jährlich)</w:t>
            </w:r>
          </w:p>
        </w:tc>
        <w:tc>
          <w:tcPr>
            <w:tcW w:type="dxa" w:w="2268"/>
          </w:tcPr>
          <w:p>
            <w:r>
              <w:rPr>
                <w:rFonts w:ascii="Times New Roman" w:hAnsi="Times New Roman"/>
                <w:sz w:val="20"/>
              </w:rPr>
              <w:t>Vogt (GF)</w:t>
            </w:r>
          </w:p>
        </w:tc>
        <w:tc>
          <w:tcPr>
            <w:tcW w:type="dxa" w:w="2268"/>
          </w:tcPr>
          <w:p>
            <w:r>
              <w:rPr>
                <w:rFonts w:ascii="Times New Roman" w:hAnsi="Times New Roman"/>
                <w:sz w:val="20"/>
              </w:rPr>
              <w:t>31.12.2026</w:t>
            </w:r>
          </w:p>
        </w:tc>
      </w:tr>
    </w:tbl>
    <w:p/>
    <w:p>
      <w:pPr>
        <w:pStyle w:val="Heading2"/>
      </w:pPr>
      <w:r>
        <w:rPr>
          <w:rFonts w:ascii="Times New Roman" w:hAnsi="Times New Roman"/>
        </w:rPr>
        <w:t>5. Kostenrahmen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Maßnahmenblock</w:t>
            </w:r>
          </w:p>
        </w:tc>
        <w:tc>
          <w:tcPr>
            <w:tcW w:type="dxa" w:w="4536"/>
          </w:tcPr>
          <w:p>
            <w:r>
              <w:rPr>
                <w:rFonts w:ascii="Times New Roman" w:hAnsi="Times New Roman"/>
                <w:b/>
                <w:sz w:val="20"/>
              </w:rPr>
              <w:t>Geschätzte Kosten</w:t>
            </w:r>
          </w:p>
        </w:tc>
      </w:tr>
      <w:tr>
        <w:tc>
          <w:tcPr>
            <w:tcW w:type="dxa" w:w="4536"/>
          </w:tcPr>
          <w:p>
            <w:r>
              <w:rPr>
                <w:rFonts w:ascii="Times New Roman" w:hAnsi="Times New Roman"/>
                <w:sz w:val="20"/>
              </w:rPr>
              <w:t>IT-Systeme (ERP-Anpassung, API-Screening)</w:t>
            </w:r>
          </w:p>
        </w:tc>
        <w:tc>
          <w:tcPr>
            <w:tcW w:type="dxa" w:w="4536"/>
          </w:tcPr>
          <w:p>
            <w:r>
              <w:rPr>
                <w:rFonts w:ascii="Times New Roman" w:hAnsi="Times New Roman"/>
                <w:sz w:val="20"/>
              </w:rPr>
              <w:t>35.000–55.000 EUR</w:t>
            </w:r>
          </w:p>
        </w:tc>
      </w:tr>
      <w:tr>
        <w:tc>
          <w:tcPr>
            <w:tcW w:type="dxa" w:w="4536"/>
          </w:tcPr>
          <w:p>
            <w:r>
              <w:rPr>
                <w:rFonts w:ascii="Times New Roman" w:hAnsi="Times New Roman"/>
                <w:sz w:val="20"/>
              </w:rPr>
              <w:t>Externer Berater (Audit, Schulung)</w:t>
            </w:r>
          </w:p>
        </w:tc>
        <w:tc>
          <w:tcPr>
            <w:tcW w:type="dxa" w:w="4536"/>
          </w:tcPr>
          <w:p>
            <w:r>
              <w:rPr>
                <w:rFonts w:ascii="Times New Roman" w:hAnsi="Times New Roman"/>
                <w:sz w:val="20"/>
              </w:rPr>
              <w:t>18.000–25.000 EUR</w:t>
            </w:r>
          </w:p>
        </w:tc>
      </w:tr>
      <w:tr>
        <w:tc>
          <w:tcPr>
            <w:tcW w:type="dxa" w:w="4536"/>
          </w:tcPr>
          <w:p>
            <w:r>
              <w:rPr>
                <w:rFonts w:ascii="Times New Roman" w:hAnsi="Times New Roman"/>
                <w:sz w:val="20"/>
              </w:rPr>
              <w:t>Personalaufwand intern (EKB, Compliance, IT)</w:t>
            </w:r>
          </w:p>
        </w:tc>
        <w:tc>
          <w:tcPr>
            <w:tcW w:type="dxa" w:w="4536"/>
          </w:tcPr>
          <w:p>
            <w:r>
              <w:rPr>
                <w:rFonts w:ascii="Times New Roman" w:hAnsi="Times New Roman"/>
                <w:sz w:val="20"/>
              </w:rPr>
              <w:t>ca. 120 Personentage</w:t>
            </w:r>
          </w:p>
        </w:tc>
      </w:tr>
      <w:tr>
        <w:tc>
          <w:tcPr>
            <w:tcW w:type="dxa" w:w="4536"/>
          </w:tcPr>
          <w:p>
            <w:r>
              <w:rPr>
                <w:rFonts w:ascii="Times New Roman" w:hAnsi="Times New Roman"/>
                <w:sz w:val="20"/>
              </w:rPr>
              <w:t>Laufende Screeningkosten (WorldCheck erhöhte Nutzung)</w:t>
            </w:r>
          </w:p>
        </w:tc>
        <w:tc>
          <w:tcPr>
            <w:tcW w:type="dxa" w:w="4536"/>
          </w:tcPr>
          <w:p>
            <w:r>
              <w:rPr>
                <w:rFonts w:ascii="Times New Roman" w:hAnsi="Times New Roman"/>
                <w:sz w:val="20"/>
              </w:rPr>
              <w:t>ca. 6.000 EUR/Jahr</w:t>
            </w:r>
          </w:p>
        </w:tc>
      </w:tr>
      <w:tr>
        <w:tc>
          <w:tcPr>
            <w:tcW w:type="dxa" w:w="4536"/>
          </w:tcPr>
          <w:p>
            <w:r>
              <w:rPr>
                <w:rFonts w:ascii="Times New Roman" w:hAnsi="Times New Roman"/>
                <w:b/>
                <w:sz w:val="20"/>
              </w:rPr>
              <w:t>Gesamt (einmalig)</w:t>
            </w:r>
          </w:p>
        </w:tc>
        <w:tc>
          <w:tcPr>
            <w:tcW w:type="dxa" w:w="4536"/>
          </w:tcPr>
          <w:p>
            <w:r>
              <w:rPr>
                <w:rFonts w:ascii="Times New Roman" w:hAnsi="Times New Roman"/>
                <w:b/>
                <w:sz w:val="20"/>
              </w:rPr>
              <w:t>ca. 53.000–80.000 EUR</w:t>
            </w:r>
          </w:p>
        </w:tc>
      </w:tr>
    </w:tbl>
    <w:p/>
    <w:p>
      <w:pPr>
        <w:pStyle w:val="Heading2"/>
      </w:pPr>
      <w:r>
        <w:rPr>
          <w:rFonts w:ascii="Times New Roman" w:hAnsi="Times New Roman"/>
        </w:rPr>
        <w:t>6. Fazit</w:t>
      </w:r>
    </w:p>
    <w:p>
      <w:pPr>
        <w:jc w:val="left"/>
      </w:pPr>
      <w:r>
        <w:t>Das bestehende ICP der Globalmaschinen GmbH weist in allen acht geprüften Bereichen erhebliche Lücken auf. Kritisch sind insbesondere die fehlerhafte Güterklassifizierung und das zu spät und zu selten durchgeführte Sanktionsscreening. Die vorliegenden Lücken haben direkt zu der jetzt eingetretenen behördlichen Prüfungssituation beigetragen.</w:t>
      </w:r>
    </w:p>
    <w:p>
      <w:pPr>
        <w:jc w:val="left"/>
      </w:pPr>
      <w:r>
        <w:t>Der 20-Punkte-Maßnahmenplan ist realistisch umsetzbar und adressiert alle identifizierten Schwachstellen. Seine zügige Umsetzung ist auch im Hinblick auf die BAFA-Kooperationsbereitschaft und eine mögliche Milderung von Bußgeldsanktionen strategisch geboten. Eine freiwillige Selbstanzeige und der Nachweis eines laufenden ICP-Verbesserungsprogramms sind nach der Verwaltungspraxis des BAFA geeignet, das Sanktionsermessen positiv zu beeinflussen.</w:t>
      </w:r>
    </w:p>
    <w:p/>
    <w:p>
      <w:pPr>
        <w:jc w:val="left"/>
      </w:pPr>
      <w:r>
        <w:rPr>
          <w:i/>
        </w:rPr>
        <w:t>GM-ICP-2026-001 | Dr. Sabine Brennecke; Dipl.-Ing. Rainer Hofstädter | 18.04.2026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Geschäftsführung Globalmaschinen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Geschäftsführung Globalmaschinen GmbH</w:t>
    </w:r>
  </w:p>
  <w:p>
    <w:pPr>
      <w:jc w:val="left"/>
      <w:pBdr>
        <w:bottom w:val="single" w:sz="6" w:space="2" w:color="2C5230"/>
      </w:pBdr>
    </w:pPr>
    <w:r>
      <w:rPr>
        <w:rFonts w:ascii="Times New Roman" w:hAnsi="Times New Roman"/>
        <w:color w:val="6B6B66"/>
        <w:sz w:val="16"/>
      </w:rPr>
      <w:t>Unternehmen · Aktenzeichen: GM-ICP-2026-001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