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Thalvenia Bank AG</w:t>
      </w:r>
    </w:p>
    <w:p>
      <w:pPr>
        <w:jc w:val="left"/>
      </w:pPr>
      <w:r>
        <w:rPr>
          <w:b/>
        </w:rPr>
        <w:t>Kanzlei:</w:t>
      </w:r>
      <w:r>
        <w:t xml:space="preserve"> Schwertbeck Roosendaal mbB, Frankfurt am Main</w:t>
      </w:r>
    </w:p>
    <w:p>
      <w:pPr>
        <w:jc w:val="left"/>
      </w:pPr>
      <w:r>
        <w:rPr>
          <w:b/>
        </w:rPr>
        <w:t>Federführung:</w:t>
      </w:r>
      <w:r>
        <w:t xml:space="preserve"> Prof. Dr. Heinrich Schwertbeck</w:t>
      </w:r>
    </w:p>
    <w:p>
      <w:pPr>
        <w:jc w:val="left"/>
      </w:pPr>
      <w:r>
        <w:rPr>
          <w:b/>
        </w:rPr>
        <w:t>Aktenzeichen Kanzlei:</w:t>
      </w:r>
      <w:r>
        <w:t xml:space="preserve"> SR-2026-FIN-0612</w:t>
      </w:r>
    </w:p>
    <w:p>
      <w:pPr>
        <w:jc w:val="left"/>
      </w:pPr>
      <w:r>
        <w:rPr>
          <w:b/>
        </w:rPr>
        <w:t>Datum Mandatserteilung:</w:t>
      </w:r>
      <w:r>
        <w:t xml:space="preserve"> 20. März 2026</w:t>
      </w:r>
    </w:p>
    <w:p>
      <w:pPr>
        <w:jc w:val="left"/>
      </w:pPr>
      <w:r>
        <w:rPr>
          <w:b/>
        </w:rPr>
        <w:t>Mandantin:</w:t>
      </w:r>
      <w:r>
        <w:t xml:space="preserve"> Thalvenia Bank AG, Königstraße 87, 70173 Stuttgart</w:t>
      </w:r>
    </w:p>
    <w:p/>
    <w:p>
      <w:pPr>
        <w:pStyle w:val="Heading2"/>
      </w:pPr>
      <w:r>
        <w:rPr>
          <w:rFonts w:ascii="Times New Roman" w:hAnsi="Times New Roman"/>
        </w:rPr>
        <w:t>Sachverhalt bei Mandatserteilung</w:t>
      </w:r>
    </w:p>
    <w:p>
      <w:pPr>
        <w:jc w:val="left"/>
      </w:pPr>
      <w:r>
        <w:t>Am 18. März 2026 ging bei der Kanzlei Schwertbeck Roosendaal ein dringender Anruf von CEO Dr. Cornelius Thalheim-Lattermann und CCO Dr. Lasse Tannenfels ein. Hintergrund war die am selben Tag zugegangene Prüfungsmitteilung der BaFin (Az. VBS 4 1 7-K-22-188/2026), mit der eine Sonderprüfung nach § 44 KWG mit sofortiger Wirkung eingeleitet wurde. Das Institut hatte zu diesem Zeitpunkt keinen spezialisierten Bankaufsichtsrechtler mandatiert; die bisherige Hausanwaltskanzlei war ausschließlich im Bereich Gesellschaftsrecht tätig.</w:t>
      </w:r>
    </w:p>
    <w:p>
      <w:pPr>
        <w:jc w:val="left"/>
      </w:pPr>
      <w:r>
        <w:t>Prof. Dr. Schwertbeck war am 19. März 2026 zu einem Vorgespräch in Stuttgart. Anwesend waren alle vier Vorstandsmitglieder sowie die interne Leiterin der Rechtsabteilung, Dr. Miriam Hoffrath-Seel. Das Gespräch dauerte rd. vier Stunden.</w:t>
      </w:r>
    </w:p>
    <w:p/>
    <w:p>
      <w:pPr>
        <w:pStyle w:val="Heading2"/>
      </w:pPr>
      <w:r>
        <w:rPr>
          <w:rFonts w:ascii="Times New Roman" w:hAnsi="Times New Roman"/>
        </w:rPr>
        <w:t>Konfliktprüfung und Interessenlage</w:t>
      </w:r>
    </w:p>
    <w:p>
      <w:pPr>
        <w:jc w:val="left"/>
      </w:pPr>
      <w:r>
        <w:t>Vor Mandatserteilung war zu prüfen, ob die Vertretung aller Vorstandsmitglieder durch dieselbe Kanzlei möglich ist. Folgende Risikokonstellationen wurden erörtert:</w:t>
      </w:r>
    </w:p>
    <w:p>
      <w:pPr>
        <w:pStyle w:val="ListNumber"/>
      </w:pPr>
      <w:r>
        <w:rPr>
          <w:b/>
        </w:rPr>
        <w:t>CCO Dr. Tannenfels</w:t>
      </w:r>
      <w:r>
        <w:t>: Staatsanwaltschaft Stuttgart führt seit Februar 2026 ein Ermittlungsverfahren wegen des Verdachts der Geldwäsche (§ 261 StGB, Az. 13 Js 4481/26). Eine Interessenkollision zwischen Individualverteidigung und Institutsvertretung ist möglich.</w:t>
      </w:r>
    </w:p>
    <w:p>
      <w:pPr>
        <w:pStyle w:val="ListNumber"/>
      </w:pPr>
      <w:r>
        <w:rPr>
          <w:b/>
        </w:rPr>
        <w:t>CRO Dr. Birkenhainer</w:t>
      </w:r>
      <w:r>
        <w:t>: Keine bekannten Individualverfahren; Vertretung durch Schwertbeck Roosendaal unbedenklich.</w:t>
      </w:r>
    </w:p>
    <w:p>
      <w:pPr>
        <w:pStyle w:val="ListNumber"/>
      </w:pPr>
      <w:r>
        <w:rPr>
          <w:b/>
        </w:rPr>
        <w:t>CEO und COO</w:t>
      </w:r>
      <w:r>
        <w:t>: Keine Individualverfahren; Vertretung unbedenklich.</w:t>
      </w:r>
    </w:p>
    <w:p>
      <w:pPr>
        <w:jc w:val="left"/>
      </w:pPr>
      <w:r>
        <w:rPr>
          <w:b/>
        </w:rPr>
        <w:t>Ergebnis Konfliktprüfung:</w:t>
      </w:r>
      <w:r>
        <w:t xml:space="preserve"> Schwertbeck Roosendaal übernimmt das Mandat für die Thalvenia Bank AG als Institut sowie für CEO, COO und CRO in ihrer Eigenschaft als Vorstandsmitglieder. Für CCO Dr. Tannenfels wird eine </w:t>
      </w:r>
      <w:r>
        <w:rPr>
          <w:b/>
        </w:rPr>
        <w:t>getrennte Strafverteidigung</w:t>
      </w:r>
      <w:r>
        <w:t xml:space="preserve"> empfohlen; RAin Dr. Franziska Oberkampf-Heyden, Frankfurt, wird als Strafverteidigerin mandatiert. Schwertbeck Roosendaal koordiniert mit ihr soweit keine Interessenkollision besteht.</w:t>
      </w:r>
    </w:p>
    <w:p/>
    <w:p>
      <w:pPr>
        <w:pStyle w:val="Heading2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>Vollmacht erteilt durch Vorstandsbeschluss der Thalvenia Bank AG vom 20. März 2026 (einstimmig, CCO enthielt sich wegen Individualinteressen). Die Vollmacht umfasst:</w:t>
      </w:r>
    </w:p>
    <w:p>
      <w:pPr>
        <w:pStyle w:val="ListBullet"/>
      </w:pPr>
      <w:r>
        <w:t>Vertretung gegenüber der BaFin im Sonderprüfungsverfahren VBS 4 1 7-K-22-188/2026</w:t>
      </w:r>
    </w:p>
    <w:p>
      <w:pPr>
        <w:pStyle w:val="ListBullet"/>
      </w:pPr>
      <w:r>
        <w:t>Vertretung gegenüber der FIU im Verfahren 2026-FIU-7711-TN</w:t>
      </w:r>
    </w:p>
    <w:p>
      <w:pPr>
        <w:pStyle w:val="ListBullet"/>
      </w:pPr>
      <w:r>
        <w:t>Beratung im MiCAR-Zulassungsverfahren</w:t>
      </w:r>
    </w:p>
    <w:p>
      <w:pPr>
        <w:pStyle w:val="ListBullet"/>
      </w:pPr>
      <w:r>
        <w:t>Koordination mit Staatsanwaltschaft Stuttgart (soweit institutsseitig)</w:t>
      </w:r>
    </w:p>
    <w:p>
      <w:pPr>
        <w:pStyle w:val="ListBullet"/>
      </w:pPr>
      <w:r>
        <w:t>Presserechtliche Begleitung</w:t>
      </w:r>
    </w:p>
    <w:p/>
    <w:p>
      <w:pPr>
        <w:pStyle w:val="Heading2"/>
      </w:pPr>
      <w:r>
        <w:rPr>
          <w:rFonts w:ascii="Times New Roman" w:hAnsi="Times New Roman"/>
        </w:rPr>
        <w:t>Retainer und Honorar</w:t>
      </w:r>
    </w:p>
    <w:p>
      <w:pPr>
        <w:jc w:val="left"/>
      </w:pPr>
      <w:r>
        <w:t>Vereinbart: Stundenhonorar Prof. Dr. Schwertbeck EUR 650/Stunde zzgl. MwSt.; Dr. Glock-Meinhard EUR 420/Stunde; RA Freytag-Sonnleitner EUR 380/Stunde. Monatlicher Kostenvorschuss EUR 75.000 für die ersten drei Monate. Anzahlung EUR 150.000 bei Mandatserteilung. Kein Erfolgshonorar.</w:t>
      </w:r>
    </w:p>
    <w:p/>
    <w:p>
      <w:pPr>
        <w:pStyle w:val="Heading2"/>
      </w:pPr>
      <w:r>
        <w:rPr>
          <w:rFonts w:ascii="Times New Roman" w:hAnsi="Times New Roman"/>
        </w:rPr>
        <w:t>Sofortmaßnahmen (20./21. März 2026)</w:t>
      </w:r>
    </w:p>
    <w:p>
      <w:pPr>
        <w:pStyle w:val="ListNumber"/>
      </w:pPr>
      <w:r>
        <w:rPr>
          <w:b/>
        </w:rPr>
        <w:t>Aktensicherung:</w:t>
      </w:r>
      <w:r>
        <w:t xml:space="preserve"> Interne Anweisung an alle Abteilungen, keine Dokumente zu löschen oder zu verändern (Legal Hold).</w:t>
      </w:r>
    </w:p>
    <w:p>
      <w:pPr>
        <w:pStyle w:val="ListNumber"/>
      </w:pPr>
      <w:r>
        <w:rPr>
          <w:b/>
        </w:rPr>
        <w:t>Kommunikationskontrolle:</w:t>
      </w:r>
      <w:r>
        <w:t xml:space="preserve"> Alle externen Kommunikationen mit BaFin, FIU und Staatsanwaltschaft laufen ab sofort über die Kanzlei.</w:t>
      </w:r>
    </w:p>
    <w:p>
      <w:pPr>
        <w:pStyle w:val="ListNumber"/>
      </w:pPr>
      <w:r>
        <w:rPr>
          <w:b/>
        </w:rPr>
        <w:t>Prüferkontakt:</w:t>
      </w:r>
      <w:r>
        <w:t xml:space="preserve"> Kanzlei nimmt Kontakt mit der leitenden Prüferin Dr. Hannelore Kösters (BaFin, Referat VBS 4) auf.</w:t>
      </w:r>
    </w:p>
    <w:p>
      <w:pPr>
        <w:pStyle w:val="ListNumber"/>
      </w:pPr>
      <w:r>
        <w:rPr>
          <w:b/>
        </w:rPr>
        <w:t>Datenraum:</w:t>
      </w:r>
      <w:r>
        <w:t xml:space="preserve"> Einrichtung eines verschlüsselten Datenraums (iManage) für Dokumentenübergabe an Prüfer.</w:t>
      </w:r>
    </w:p>
    <w:p>
      <w:pPr>
        <w:pStyle w:val="ListNumber"/>
      </w:pPr>
      <w:r>
        <w:rPr>
          <w:b/>
        </w:rPr>
        <w:t>Krisenteam:</w:t>
      </w:r>
      <w:r>
        <w:t xml:space="preserve"> Konstituierung eines internen Krisenteams bestehend aus CCO, CRO, Leiterin Rechtsabteilung und externem Berater (Schwertbeck Roosendaal).</w:t>
      </w:r>
    </w:p>
    <w:p/>
    <w:p>
      <w:pPr>
        <w:pStyle w:val="Heading2"/>
      </w:pPr>
      <w:r>
        <w:rPr>
          <w:rFonts w:ascii="Times New Roman" w:hAnsi="Times New Roman"/>
        </w:rPr>
        <w:t>Offene Fragen bei Mandatsübernahme</w:t>
      </w:r>
    </w:p>
    <w:p>
      <w:pPr>
        <w:pStyle w:val="ListBullet"/>
      </w:pPr>
      <w:r>
        <w:t>Umfang der AML-Lücken (interne Aufarbeitung noch nicht abgeschlossen)</w:t>
      </w:r>
    </w:p>
    <w:p>
      <w:pPr>
        <w:pStyle w:val="ListBullet"/>
      </w:pPr>
      <w:r>
        <w:t>Genaue Tatbestandsmerkmale des Cybervorfall-Meldungsversäumnisses (Fristberechnung BAIT Tz. 55)</w:t>
      </w:r>
    </w:p>
    <w:p>
      <w:pPr>
        <w:pStyle w:val="ListBullet"/>
      </w:pPr>
      <w:r>
        <w:t>Stand des MiCAR-CASP-Antrags und Vollständigkeit der Unterlagen</w:t>
      </w:r>
    </w:p>
    <w:p>
      <w:pPr>
        <w:pStyle w:val="ListBullet"/>
      </w:pPr>
      <w:r>
        <w:t>Ob BaFin bereits eine Untersagungsverfügung nach § 6 KWG vorbereitet</w:t>
      </w:r>
    </w:p>
    <w:p>
      <w:pPr>
        <w:pStyle w:val="ListBullet"/>
      </w:pPr>
      <w:r>
        <w:t>Verbindlichkeit der FIU-Anfrage und Umfang der Auskunftspflicht</w:t>
      </w:r>
    </w:p>
    <w:p>
      <w:pPr>
        <w:jc w:val="left"/>
      </w:pPr>
      <w:r>
        <w:rPr>
          <w:b/>
        </w:rPr>
        <w:t>Bearbeiterin:</w:t>
      </w:r>
      <w:r>
        <w:t xml:space="preserve"> Prof. Dr. Heinrich Schwertbeck / Dr. Petra Glock-Meinhard</w:t>
      </w:r>
    </w:p>
    <w:p>
      <w:pPr>
        <w:jc w:val="left"/>
      </w:pPr>
      <w:r>
        <w:rPr>
          <w:b/>
        </w:rPr>
        <w:t>Nächste Schritte:</w:t>
      </w:r>
      <w:r>
        <w:t xml:space="preserve"> Vgl. 04-bafin-pruefungsmitteilung-2026.md, 05-pruefungsschwerpunkte-aml-cybersecurity.md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Thalvenia Bank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Mandatsübernahme Thalvenia Bank AG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 Kanzlei: SR-2026-FIN-0612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