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07 — AML-Pflichtenkatalog nach GwG</w:t>
      </w:r>
    </w:p>
    <w:p>
      <w:pPr>
        <w:jc w:val="left"/>
      </w:pPr>
      <w:r>
        <w:rPr>
          <w:b/>
        </w:rPr>
        <w:t>Bezug:</w:t>
      </w:r>
      <w:r>
        <w:t xml:space="preserve"> BaFin-Prüfung VBS 4 1 7-K-22-188/2026</w:t>
      </w:r>
    </w:p>
    <w:p>
      <w:pPr>
        <w:jc w:val="left"/>
      </w:pPr>
      <w:r>
        <w:rPr>
          <w:b/>
        </w:rPr>
        <w:t>Prüferin AML:</w:t>
      </w:r>
      <w:r>
        <w:t xml:space="preserve"> Annika Wunderwald, BaFin Referat GW 2</w:t>
      </w:r>
    </w:p>
    <w:p>
      <w:pPr>
        <w:jc w:val="left"/>
      </w:pPr>
      <w:r>
        <w:rPr>
          <w:b/>
        </w:rPr>
        <w:t>Internes Kanzleidokument:</w:t>
      </w:r>
      <w:r>
        <w:t xml:space="preserve"> SR-2026-FIN-0612-AML-01</w:t>
      </w:r>
    </w:p>
    <w:p/>
    <w:p>
      <w:pPr>
        <w:pStyle w:val="Heading2"/>
      </w:pPr>
      <w:r>
        <w:rPr>
          <w:rFonts w:ascii="Times New Roman" w:hAnsi="Times New Roman"/>
        </w:rPr>
        <w:t>Übersicht GwG-Pflichten und Befunde</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GwG-Pflicht</w:t>
            </w:r>
          </w:p>
        </w:tc>
        <w:tc>
          <w:tcPr>
            <w:tcW w:type="dxa" w:w="2268"/>
          </w:tcPr>
          <w:p>
            <w:r>
              <w:rPr>
                <w:rFonts w:ascii="Times New Roman" w:hAnsi="Times New Roman"/>
                <w:b/>
                <w:sz w:val="20"/>
              </w:rPr>
              <w:t>Paragraph</w:t>
            </w:r>
          </w:p>
        </w:tc>
        <w:tc>
          <w:tcPr>
            <w:tcW w:type="dxa" w:w="2268"/>
          </w:tcPr>
          <w:p>
            <w:r>
              <w:rPr>
                <w:rFonts w:ascii="Times New Roman" w:hAnsi="Times New Roman"/>
                <w:b/>
                <w:sz w:val="20"/>
              </w:rPr>
              <w:t>Status Thalvenia</w:t>
            </w:r>
          </w:p>
        </w:tc>
        <w:tc>
          <w:tcPr>
            <w:tcW w:type="dxa" w:w="2268"/>
          </w:tcPr>
          <w:p>
            <w:r>
              <w:rPr>
                <w:rFonts w:ascii="Times New Roman" w:hAnsi="Times New Roman"/>
                <w:b/>
                <w:sz w:val="20"/>
              </w:rPr>
              <w:t>Befund BaFin</w:t>
            </w:r>
          </w:p>
        </w:tc>
      </w:tr>
      <w:tr>
        <w:tc>
          <w:tcPr>
            <w:tcW w:type="dxa" w:w="2268"/>
          </w:tcPr>
          <w:p>
            <w:r>
              <w:rPr>
                <w:rFonts w:ascii="Times New Roman" w:hAnsi="Times New Roman"/>
                <w:sz w:val="20"/>
              </w:rPr>
              <w:t>Risikoanalyse</w:t>
            </w:r>
          </w:p>
        </w:tc>
        <w:tc>
          <w:tcPr>
            <w:tcW w:type="dxa" w:w="2268"/>
          </w:tcPr>
          <w:p>
            <w:r>
              <w:rPr>
                <w:rFonts w:ascii="Times New Roman" w:hAnsi="Times New Roman"/>
                <w:sz w:val="20"/>
              </w:rPr>
              <w:t>§ 5 GwG</w:t>
            </w:r>
          </w:p>
        </w:tc>
        <w:tc>
          <w:tcPr>
            <w:tcW w:type="dxa" w:w="2268"/>
          </w:tcPr>
          <w:p>
            <w:r>
              <w:rPr>
                <w:rFonts w:ascii="Times New Roman" w:hAnsi="Times New Roman"/>
                <w:sz w:val="20"/>
              </w:rPr>
              <w:t>Risikoanalyse vorhanden, aber veraltet (2023)</w:t>
            </w:r>
          </w:p>
        </w:tc>
        <w:tc>
          <w:tcPr>
            <w:tcW w:type="dxa" w:w="2268"/>
          </w:tcPr>
          <w:p>
            <w:r>
              <w:rPr>
                <w:rFonts w:ascii="Times New Roman" w:hAnsi="Times New Roman"/>
                <w:sz w:val="20"/>
              </w:rPr>
              <w:t>Wesentlicher Befund: keine Aktualisierung 2024/2025</w:t>
            </w:r>
          </w:p>
        </w:tc>
      </w:tr>
      <w:tr>
        <w:tc>
          <w:tcPr>
            <w:tcW w:type="dxa" w:w="2268"/>
          </w:tcPr>
          <w:p>
            <w:r>
              <w:rPr>
                <w:rFonts w:ascii="Times New Roman" w:hAnsi="Times New Roman"/>
                <w:sz w:val="20"/>
              </w:rPr>
              <w:t>Organisatorische Pflichten</w:t>
            </w:r>
          </w:p>
        </w:tc>
        <w:tc>
          <w:tcPr>
            <w:tcW w:type="dxa" w:w="2268"/>
          </w:tcPr>
          <w:p>
            <w:r>
              <w:rPr>
                <w:rFonts w:ascii="Times New Roman" w:hAnsi="Times New Roman"/>
                <w:sz w:val="20"/>
              </w:rPr>
              <w:t>§ 6 GwG</w:t>
            </w:r>
          </w:p>
        </w:tc>
        <w:tc>
          <w:tcPr>
            <w:tcW w:type="dxa" w:w="2268"/>
          </w:tcPr>
          <w:p>
            <w:r>
              <w:rPr>
                <w:rFonts w:ascii="Times New Roman" w:hAnsi="Times New Roman"/>
                <w:sz w:val="20"/>
              </w:rPr>
              <w:t>CCO bestellt; Schulungsplan vorhanden</w:t>
            </w:r>
          </w:p>
        </w:tc>
        <w:tc>
          <w:tcPr>
            <w:tcW w:type="dxa" w:w="2268"/>
          </w:tcPr>
          <w:p>
            <w:r>
              <w:rPr>
                <w:rFonts w:ascii="Times New Roman" w:hAnsi="Times New Roman"/>
                <w:sz w:val="20"/>
              </w:rPr>
              <w:t>Befund: Schulungsplan nicht vollständig umgesetzt</w:t>
            </w:r>
          </w:p>
        </w:tc>
      </w:tr>
      <w:tr>
        <w:tc>
          <w:tcPr>
            <w:tcW w:type="dxa" w:w="2268"/>
          </w:tcPr>
          <w:p>
            <w:r>
              <w:rPr>
                <w:rFonts w:ascii="Times New Roman" w:hAnsi="Times New Roman"/>
                <w:sz w:val="20"/>
              </w:rPr>
              <w:t>Beauftragtenbenennung</w:t>
            </w:r>
          </w:p>
        </w:tc>
        <w:tc>
          <w:tcPr>
            <w:tcW w:type="dxa" w:w="2268"/>
          </w:tcPr>
          <w:p>
            <w:r>
              <w:rPr>
                <w:rFonts w:ascii="Times New Roman" w:hAnsi="Times New Roman"/>
                <w:sz w:val="20"/>
              </w:rPr>
              <w:t>§ 7 GwG</w:t>
            </w:r>
          </w:p>
        </w:tc>
        <w:tc>
          <w:tcPr>
            <w:tcW w:type="dxa" w:w="2268"/>
          </w:tcPr>
          <w:p>
            <w:r>
              <w:rPr>
                <w:rFonts w:ascii="Times New Roman" w:hAnsi="Times New Roman"/>
                <w:sz w:val="20"/>
              </w:rPr>
              <w:t>CCO Dr. Tannenfels als Geldwäschebeauftragter benannt</w:t>
            </w:r>
          </w:p>
        </w:tc>
        <w:tc>
          <w:tcPr>
            <w:tcW w:type="dxa" w:w="2268"/>
          </w:tcPr>
          <w:p>
            <w:r>
              <w:rPr>
                <w:rFonts w:ascii="Times New Roman" w:hAnsi="Times New Roman"/>
                <w:sz w:val="20"/>
              </w:rPr>
              <w:t>Befund: Vertretungsregelung unzureichend</w:t>
            </w:r>
          </w:p>
        </w:tc>
      </w:tr>
      <w:tr>
        <w:tc>
          <w:tcPr>
            <w:tcW w:type="dxa" w:w="2268"/>
          </w:tcPr>
          <w:p>
            <w:r>
              <w:rPr>
                <w:rFonts w:ascii="Times New Roman" w:hAnsi="Times New Roman"/>
                <w:sz w:val="20"/>
              </w:rPr>
              <w:t>Allgemeine Sorgfaltspflichten</w:t>
            </w:r>
          </w:p>
        </w:tc>
        <w:tc>
          <w:tcPr>
            <w:tcW w:type="dxa" w:w="2268"/>
          </w:tcPr>
          <w:p>
            <w:r>
              <w:rPr>
                <w:rFonts w:ascii="Times New Roman" w:hAnsi="Times New Roman"/>
                <w:sz w:val="20"/>
              </w:rPr>
              <w:t>§ 10 GwG</w:t>
            </w:r>
          </w:p>
        </w:tc>
        <w:tc>
          <w:tcPr>
            <w:tcW w:type="dxa" w:w="2268"/>
          </w:tcPr>
          <w:p>
            <w:r>
              <w:rPr>
                <w:rFonts w:ascii="Times New Roman" w:hAnsi="Times New Roman"/>
                <w:sz w:val="20"/>
              </w:rPr>
              <w:t>KYC-Prozess existiert</w:t>
            </w:r>
          </w:p>
        </w:tc>
        <w:tc>
          <w:tcPr>
            <w:tcW w:type="dxa" w:w="2268"/>
          </w:tcPr>
          <w:p>
            <w:r>
              <w:rPr>
                <w:rFonts w:ascii="Times New Roman" w:hAnsi="Times New Roman"/>
                <w:sz w:val="20"/>
              </w:rPr>
              <w:t>Wesentlicher Befund: 8 Hochrisikokunden unvollständig</w:t>
            </w:r>
          </w:p>
        </w:tc>
      </w:tr>
      <w:tr>
        <w:tc>
          <w:tcPr>
            <w:tcW w:type="dxa" w:w="2268"/>
          </w:tcPr>
          <w:p>
            <w:r>
              <w:rPr>
                <w:rFonts w:ascii="Times New Roman" w:hAnsi="Times New Roman"/>
                <w:sz w:val="20"/>
              </w:rPr>
              <w:t>Vereinfachte Sorgfaltspflichten</w:t>
            </w:r>
          </w:p>
        </w:tc>
        <w:tc>
          <w:tcPr>
            <w:tcW w:type="dxa" w:w="2268"/>
          </w:tcPr>
          <w:p>
            <w:r>
              <w:rPr>
                <w:rFonts w:ascii="Times New Roman" w:hAnsi="Times New Roman"/>
                <w:sz w:val="20"/>
              </w:rPr>
              <w:t>§ 14 GwG</w:t>
            </w:r>
          </w:p>
        </w:tc>
        <w:tc>
          <w:tcPr>
            <w:tcW w:type="dxa" w:w="2268"/>
          </w:tcPr>
          <w:p>
            <w:r>
              <w:rPr>
                <w:rFonts w:ascii="Times New Roman" w:hAnsi="Times New Roman"/>
                <w:sz w:val="20"/>
              </w:rPr>
              <w:t>Kategorisierung vorhanden</w:t>
            </w:r>
          </w:p>
        </w:tc>
        <w:tc>
          <w:tcPr>
            <w:tcW w:type="dxa" w:w="2268"/>
          </w:tcPr>
          <w:p>
            <w:r>
              <w:rPr>
                <w:rFonts w:ascii="Times New Roman" w:hAnsi="Times New Roman"/>
                <w:sz w:val="20"/>
              </w:rPr>
              <w:t>Kein Befund</w:t>
            </w:r>
          </w:p>
        </w:tc>
      </w:tr>
      <w:tr>
        <w:tc>
          <w:tcPr>
            <w:tcW w:type="dxa" w:w="2268"/>
          </w:tcPr>
          <w:p>
            <w:r>
              <w:rPr>
                <w:rFonts w:ascii="Times New Roman" w:hAnsi="Times New Roman"/>
                <w:sz w:val="20"/>
              </w:rPr>
              <w:t>Verstärkte Sorgfaltspflichten</w:t>
            </w:r>
          </w:p>
        </w:tc>
        <w:tc>
          <w:tcPr>
            <w:tcW w:type="dxa" w:w="2268"/>
          </w:tcPr>
          <w:p>
            <w:r>
              <w:rPr>
                <w:rFonts w:ascii="Times New Roman" w:hAnsi="Times New Roman"/>
                <w:sz w:val="20"/>
              </w:rPr>
              <w:t>§ 15 GwG</w:t>
            </w:r>
          </w:p>
        </w:tc>
        <w:tc>
          <w:tcPr>
            <w:tcW w:type="dxa" w:w="2268"/>
          </w:tcPr>
          <w:p>
            <w:r>
              <w:rPr>
                <w:rFonts w:ascii="Times New Roman" w:hAnsi="Times New Roman"/>
                <w:sz w:val="20"/>
              </w:rPr>
              <w:t>Nur teilweise angewandt</w:t>
            </w:r>
          </w:p>
        </w:tc>
        <w:tc>
          <w:tcPr>
            <w:tcW w:type="dxa" w:w="2268"/>
          </w:tcPr>
          <w:p>
            <w:r>
              <w:rPr>
                <w:rFonts w:ascii="Times New Roman" w:hAnsi="Times New Roman"/>
                <w:sz w:val="20"/>
              </w:rPr>
              <w:t>Wesentlicher Befund: PEP-Screening-Lücken</w:t>
            </w:r>
          </w:p>
        </w:tc>
      </w:tr>
      <w:tr>
        <w:tc>
          <w:tcPr>
            <w:tcW w:type="dxa" w:w="2268"/>
          </w:tcPr>
          <w:p>
            <w:r>
              <w:rPr>
                <w:rFonts w:ascii="Times New Roman" w:hAnsi="Times New Roman"/>
                <w:sz w:val="20"/>
              </w:rPr>
              <w:t>Transaktionsmonitoring</w:t>
            </w:r>
          </w:p>
        </w:tc>
        <w:tc>
          <w:tcPr>
            <w:tcW w:type="dxa" w:w="2268"/>
          </w:tcPr>
          <w:p>
            <w:r>
              <w:rPr>
                <w:rFonts w:ascii="Times New Roman" w:hAnsi="Times New Roman"/>
                <w:sz w:val="20"/>
              </w:rPr>
              <w:t>§ 25h KWG (analog)</w:t>
            </w:r>
          </w:p>
        </w:tc>
        <w:tc>
          <w:tcPr>
            <w:tcW w:type="dxa" w:w="2268"/>
          </w:tcPr>
          <w:p>
            <w:r>
              <w:rPr>
                <w:rFonts w:ascii="Times New Roman" w:hAnsi="Times New Roman"/>
                <w:sz w:val="20"/>
              </w:rPr>
              <w:t>Softwarelösung Chainalysis Reactor vorhanden</w:t>
            </w:r>
          </w:p>
        </w:tc>
        <w:tc>
          <w:tcPr>
            <w:tcW w:type="dxa" w:w="2268"/>
          </w:tcPr>
          <w:p>
            <w:r>
              <w:rPr>
                <w:rFonts w:ascii="Times New Roman" w:hAnsi="Times New Roman"/>
                <w:sz w:val="20"/>
              </w:rPr>
              <w:t>Befund: Regelwerk seit 2022 nicht aktualisiert</w:t>
            </w:r>
          </w:p>
        </w:tc>
      </w:tr>
      <w:tr>
        <w:tc>
          <w:tcPr>
            <w:tcW w:type="dxa" w:w="2268"/>
          </w:tcPr>
          <w:p>
            <w:r>
              <w:rPr>
                <w:rFonts w:ascii="Times New Roman" w:hAnsi="Times New Roman"/>
                <w:sz w:val="20"/>
              </w:rPr>
              <w:t>Verdachtsmeldepflicht</w:t>
            </w:r>
          </w:p>
        </w:tc>
        <w:tc>
          <w:tcPr>
            <w:tcW w:type="dxa" w:w="2268"/>
          </w:tcPr>
          <w:p>
            <w:r>
              <w:rPr>
                <w:rFonts w:ascii="Times New Roman" w:hAnsi="Times New Roman"/>
                <w:sz w:val="20"/>
              </w:rPr>
              <w:t>§ 43 GwG</w:t>
            </w:r>
          </w:p>
        </w:tc>
        <w:tc>
          <w:tcPr>
            <w:tcW w:type="dxa" w:w="2268"/>
          </w:tcPr>
          <w:p>
            <w:r>
              <w:rPr>
                <w:rFonts w:ascii="Times New Roman" w:hAnsi="Times New Roman"/>
                <w:sz w:val="20"/>
              </w:rPr>
              <w:t>3 Meldungen 2024-2026</w:t>
            </w:r>
          </w:p>
        </w:tc>
        <w:tc>
          <w:tcPr>
            <w:tcW w:type="dxa" w:w="2268"/>
          </w:tcPr>
          <w:p>
            <w:r>
              <w:rPr>
                <w:rFonts w:ascii="Times New Roman" w:hAnsi="Times New Roman"/>
                <w:sz w:val="20"/>
              </w:rPr>
              <w:t>Wesentlicher Befund: Unterlassene Meldungen</w:t>
            </w:r>
          </w:p>
        </w:tc>
      </w:tr>
      <w:tr>
        <w:tc>
          <w:tcPr>
            <w:tcW w:type="dxa" w:w="2268"/>
          </w:tcPr>
          <w:p>
            <w:r>
              <w:rPr>
                <w:rFonts w:ascii="Times New Roman" w:hAnsi="Times New Roman"/>
                <w:sz w:val="20"/>
              </w:rPr>
              <w:t>Aufbewahrungspflichten</w:t>
            </w:r>
          </w:p>
        </w:tc>
        <w:tc>
          <w:tcPr>
            <w:tcW w:type="dxa" w:w="2268"/>
          </w:tcPr>
          <w:p>
            <w:r>
              <w:rPr>
                <w:rFonts w:ascii="Times New Roman" w:hAnsi="Times New Roman"/>
                <w:sz w:val="20"/>
              </w:rPr>
              <w:t>§ 8 GwG</w:t>
            </w:r>
          </w:p>
        </w:tc>
        <w:tc>
          <w:tcPr>
            <w:tcW w:type="dxa" w:w="2268"/>
          </w:tcPr>
          <w:p>
            <w:r>
              <w:rPr>
                <w:rFonts w:ascii="Times New Roman" w:hAnsi="Times New Roman"/>
                <w:sz w:val="20"/>
              </w:rPr>
              <w:t>Archiv vorhanden</w:t>
            </w:r>
          </w:p>
        </w:tc>
        <w:tc>
          <w:tcPr>
            <w:tcW w:type="dxa" w:w="2268"/>
          </w:tcPr>
          <w:p>
            <w:r>
              <w:rPr>
                <w:rFonts w:ascii="Times New Roman" w:hAnsi="Times New Roman"/>
                <w:sz w:val="20"/>
              </w:rPr>
              <w:t>Kein Befund</w:t>
            </w:r>
          </w:p>
        </w:tc>
      </w:tr>
      <w:tr>
        <w:tc>
          <w:tcPr>
            <w:tcW w:type="dxa" w:w="2268"/>
          </w:tcPr>
          <w:p>
            <w:r>
              <w:rPr>
                <w:rFonts w:ascii="Times New Roman" w:hAnsi="Times New Roman"/>
                <w:sz w:val="20"/>
              </w:rPr>
              <w:t>Datenschutz-AML-Abwägung</w:t>
            </w:r>
          </w:p>
        </w:tc>
        <w:tc>
          <w:tcPr>
            <w:tcW w:type="dxa" w:w="2268"/>
          </w:tcPr>
          <w:p>
            <w:r>
              <w:rPr>
                <w:rFonts w:ascii="Times New Roman" w:hAnsi="Times New Roman"/>
                <w:sz w:val="20"/>
              </w:rPr>
              <w:t>§ 11 Abs. 6 GwG</w:t>
            </w:r>
          </w:p>
        </w:tc>
        <w:tc>
          <w:tcPr>
            <w:tcW w:type="dxa" w:w="2268"/>
          </w:tcPr>
          <w:p>
            <w:r>
              <w:rPr>
                <w:rFonts w:ascii="Times New Roman" w:hAnsi="Times New Roman"/>
                <w:sz w:val="20"/>
              </w:rPr>
              <w:t>Policy vorhanden</w:t>
            </w:r>
          </w:p>
        </w:tc>
        <w:tc>
          <w:tcPr>
            <w:tcW w:type="dxa" w:w="2268"/>
          </w:tcPr>
          <w:p>
            <w:r>
              <w:rPr>
                <w:rFonts w:ascii="Times New Roman" w:hAnsi="Times New Roman"/>
                <w:sz w:val="20"/>
              </w:rPr>
              <w:t>Kein Befund</w:t>
            </w:r>
          </w:p>
        </w:tc>
      </w:tr>
    </w:tbl>
    <w:p/>
    <w:p>
      <w:pPr>
        <w:pStyle w:val="Heading2"/>
      </w:pPr>
      <w:r>
        <w:rPr>
          <w:rFonts w:ascii="Times New Roman" w:hAnsi="Times New Roman"/>
        </w:rPr>
        <w:t>Detailanalyse der wesentlichen Befunde</w:t>
      </w:r>
    </w:p>
    <w:p>
      <w:pPr>
        <w:pStyle w:val="Heading3"/>
      </w:pPr>
      <w:r>
        <w:rPr>
          <w:rFonts w:ascii="Times New Roman" w:hAnsi="Times New Roman"/>
        </w:rPr>
        <w:t>Befund 1: Veraltete Risikoanalyse (§ 5 GwG)</w:t>
      </w:r>
    </w:p>
    <w:p>
      <w:pPr>
        <w:jc w:val="left"/>
      </w:pPr>
      <w:r>
        <w:t>Die letzte genehmigte Risikoanalyse datiert vom 12. November 2023. Das GwG und die BaFin-Auslegungshinweise verlangen eine anlassbezogene Aktualisierung, mindestens jedoch jährlich. Im Jahr 2024 gab es zwei wesentliche Auslöser für eine Aktualisierung:</w:t>
      </w:r>
    </w:p>
    <w:p>
      <w:pPr>
        <w:pStyle w:val="ListBullet"/>
      </w:pPr>
      <w:r>
        <w:t>Einführung des MiCAR-Übergangsregimes (neues Geschäftsmodell)</w:t>
      </w:r>
    </w:p>
    <w:p>
      <w:pPr>
        <w:pStyle w:val="ListBullet"/>
      </w:pPr>
      <w:r>
        <w:t>Aufnahme des Eigenhandels in Token TN (Oktober 2024)</w:t>
      </w:r>
    </w:p>
    <w:p>
      <w:pPr>
        <w:jc w:val="left"/>
      </w:pPr>
      <w:r>
        <w:t>Keine Aktualisierung der Risikoanalyse ist erfolgt. Die Prüferin bewertet dies als eigenständigen wesentlichen Mangel.</w:t>
      </w:r>
    </w:p>
    <w:p>
      <w:pPr>
        <w:pStyle w:val="Heading3"/>
      </w:pPr>
      <w:r>
        <w:rPr>
          <w:rFonts w:ascii="Times New Roman" w:hAnsi="Times New Roman"/>
        </w:rPr>
        <w:t>Befund 2: Unvollständige KYC-Akten (§ 10 GwG)</w:t>
      </w:r>
    </w:p>
    <w:p>
      <w:pPr>
        <w:jc w:val="left"/>
      </w:pPr>
      <w:r>
        <w:t>Von 47 als Hochrisikokunden klassifizierten Kunden (Kategorie 3 oder 4) wurden acht durch die BaFin-Prüferin für eine Stichprobenprüfung ausgewählt. Bei vier dieser acht Kunden wurden wesentliche Mängel in der KYC-Dokumentation festgestellt:</w:t>
      </w:r>
    </w:p>
    <w:p>
      <w:pPr>
        <w:pStyle w:val="ListBullet"/>
      </w:pPr>
      <w:r>
        <w:t>Kunden HR-03: Wirtschaftlich Berechtigter nicht festgestellt (§ 3 Abs. 1 GwG)</w:t>
      </w:r>
    </w:p>
    <w:p>
      <w:pPr>
        <w:pStyle w:val="ListBullet"/>
      </w:pPr>
      <w:r>
        <w:t>Kunden HR-07: Herkunft der Fondsmittel nicht dokumentiert (§ 15 Abs. 4 GwG)</w:t>
      </w:r>
    </w:p>
    <w:p>
      <w:pPr>
        <w:pStyle w:val="ListBullet"/>
      </w:pPr>
      <w:r>
        <w:t>Kunden HR-11: PEP-Status nicht erkannt (vgl. 09-pep-screening-fehler.md)</w:t>
      </w:r>
    </w:p>
    <w:p>
      <w:pPr>
        <w:pStyle w:val="ListBullet"/>
      </w:pPr>
      <w:r>
        <w:t>Kunden HR-19: Aktualisierungsintervall 4 Jahre überschritten (§ 10 Abs. 3 GwG)</w:t>
      </w:r>
    </w:p>
    <w:p>
      <w:pPr>
        <w:jc w:val="left"/>
      </w:pPr>
      <w:r>
        <w:t>Vgl. hierzu ausführlich 08-kundenidentifikation-kyc-mangel.md.</w:t>
      </w:r>
    </w:p>
    <w:p>
      <w:pPr>
        <w:pStyle w:val="Heading3"/>
      </w:pPr>
      <w:r>
        <w:rPr>
          <w:rFonts w:ascii="Times New Roman" w:hAnsi="Times New Roman"/>
        </w:rPr>
        <w:t>Befund 3: Verdachtsmeldungen (§ 43 GwG)</w:t>
      </w:r>
    </w:p>
    <w:p>
      <w:pPr>
        <w:jc w:val="left"/>
      </w:pPr>
      <w:r>
        <w:t>Die BaFin-Prüferin hat im Transaktionsmonitoring-System für den Zeitraum Oktober 2024 bis Januar 2026 17 Transaktionen mit Auffälligkeitsindikatoren identifiziert, von denen lediglich drei zur Verdachtsmeldung an die FIU geführt haben. Die verbleibenden 14 Transaktionen wurden intern mit kurzen Vermerken dokumentiert und nicht gemeldet.</w:t>
      </w:r>
    </w:p>
    <w:p>
      <w:pPr>
        <w:jc w:val="left"/>
      </w:pPr>
      <w:r>
        <w:t>Für die fünf Transaktionen mit den höchsten Risikowerten empfahl die Prüferin eine Nachprüfung, ob eine Meldepflicht nach § 43 GwG hätte ausgelöst werden müssen. Zwei dieser Transaktionen betreffen Kunde HR-07 und haben direkten Bezug zum MAR-Verfahren Token TN.</w:t>
      </w:r>
    </w:p>
    <w:p/>
    <w:p>
      <w:pPr>
        <w:pStyle w:val="Heading2"/>
      </w:pPr>
      <w:r>
        <w:rPr>
          <w:rFonts w:ascii="Times New Roman" w:hAnsi="Times New Roman"/>
        </w:rPr>
        <w:t>Interne AML-Organisation</w:t>
      </w:r>
    </w:p>
    <w:p>
      <w:pPr>
        <w:pStyle w:val="ListBullet"/>
      </w:pPr>
      <w:r>
        <w:t>Geldwäschebeauftragter: CCO Dr. Lasse Tannenfels (gleichzeitig strafverdächtig wegen § 261 StGB — problematisch)</w:t>
      </w:r>
    </w:p>
    <w:p>
      <w:pPr>
        <w:pStyle w:val="ListBullet"/>
      </w:pPr>
      <w:r>
        <w:t>Stellvertreter: Lena Göbel-Strauch, AML-Analystin (ohne formelle GMLB-Ausbildung)</w:t>
      </w:r>
    </w:p>
    <w:p>
      <w:pPr>
        <w:pStyle w:val="ListBullet"/>
      </w:pPr>
      <w:r>
        <w:t>AML-Team: 4 Vollzeitstellen (für EUR 4,3 Mrd. AuM nach BaFin-Einschätzung zu wenig)</w:t>
      </w:r>
    </w:p>
    <w:p>
      <w:pPr>
        <w:pStyle w:val="ListBullet"/>
      </w:pPr>
      <w:r>
        <w:t>Schulungsquote 2025: 68 % der AML-relevanten Mitarbeiter (Ziel: 100 %)</w:t>
      </w:r>
    </w:p>
    <w:p/>
    <w:p>
      <w:pPr>
        <w:pStyle w:val="Heading2"/>
      </w:pPr>
      <w:r>
        <w:rPr>
          <w:rFonts w:ascii="Times New Roman" w:hAnsi="Times New Roman"/>
        </w:rPr>
        <w:t>GwG-Bußgeldrelevanz</w:t>
      </w:r>
    </w:p>
    <w:p>
      <w:pPr>
        <w:jc w:val="left"/>
      </w:pPr>
      <w:r>
        <w:t>§ 56 GwG sieht für Verstöße gegen die Pflichten der §§ 10-15 GwG Bußgelder bis zu EUR 5 Mio. (oder 10 % des Umsatzes, falls höher) vor. § 60b GwG ermächtigt zur Veröffentlichung von Bußgeldbescheiden bei Kreditinstituten. Die Gesamtbewertung der AML-Mängel könnte nach Einschätzung der Kanzlei zu einem Bußgeld im Bereich EUR 800.000 bis EUR 2,5 Mio. führen.</w:t>
      </w:r>
    </w:p>
    <w:p>
      <w:pPr>
        <w:jc w:val="left"/>
      </w:pPr>
      <w:r>
        <w:rPr>
          <w:b/>
        </w:rPr>
        <w:t>Vgl.:</w:t>
      </w:r>
      <w:r>
        <w:t xml:space="preserve"> xlsx/gwg-pflichten-katalog.xlsx für die tabellarische Gesamtübersicht mit Fristen und Maßnahmen.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Bezug: BaFin-Prüfung VBS 4 1 7-K-22-188/2026</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Bezug: BaFin-Prüfung VBS 4 1 7-K-22-188/2026</w:t>
    </w:r>
  </w:p>
  <w:p>
    <w:pPr>
      <w:jc w:val="left"/>
      <w:pBdr>
        <w:bottom w:val="single" w:sz="6" w:space="2" w:color="3B3F45"/>
      </w:pBdr>
    </w:pPr>
    <w:r>
      <w:rPr>
        <w:rFonts w:ascii="Times New Roman" w:hAnsi="Times New Roman"/>
        <w:color w:val="6B6B66"/>
        <w:sz w:val="16"/>
      </w:rPr>
      <w:t>Behörde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