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08 — Kundenidentifikation und KYC-Mängel</w:t>
      </w:r>
    </w:p>
    <w:p>
      <w:pPr>
        <w:jc w:val="left"/>
      </w:pPr>
      <w:r>
        <w:rPr>
          <w:b/>
        </w:rPr>
        <w:t>Prüfungsgegenstand:</w:t>
      </w:r>
      <w:r>
        <w:t xml:space="preserve"> Kundensorgfaltspflichten gem. §§ 10-15 GwG</w:t>
      </w:r>
    </w:p>
    <w:p>
      <w:pPr>
        <w:jc w:val="left"/>
      </w:pPr>
      <w:r>
        <w:rPr>
          <w:b/>
        </w:rPr>
        <w:t>Stichprobe BaFin:</w:t>
      </w:r>
      <w:r>
        <w:t xml:space="preserve"> 8 Hochrisikokunden (Kategorie 3 und 4)</w:t>
      </w:r>
    </w:p>
    <w:p>
      <w:pPr>
        <w:jc w:val="left"/>
      </w:pPr>
      <w:r>
        <w:rPr>
          <w:b/>
        </w:rPr>
        <w:t>Untersuchungszeitraum:</w:t>
      </w:r>
      <w:r>
        <w:t xml:space="preserve"> Onboarding bis März 2026</w:t>
      </w:r>
    </w:p>
    <w:p/>
    <w:p>
      <w:pPr>
        <w:pStyle w:val="Heading2"/>
      </w:pPr>
      <w:r>
        <w:rPr>
          <w:rFonts w:ascii="Times New Roman" w:hAnsi="Times New Roman"/>
        </w:rPr>
        <w:t>Methodische Grundlage</w:t>
      </w:r>
    </w:p>
    <w:p>
      <w:pPr>
        <w:jc w:val="left"/>
      </w:pPr>
      <w:r>
        <w:t>Die BaFin-Prüferin Annika Wunderwald führte eine risikobasierte Stichprobenprüfung durch. Die acht Kunden wurden nach folgenden Kriterien ausgewählt:</w:t>
      </w:r>
    </w:p>
    <w:p>
      <w:pPr>
        <w:pStyle w:val="ListBullet"/>
      </w:pPr>
      <w:r>
        <w:t>Kundenkategorie 3 oder 4 (Hochrisiko)</w:t>
      </w:r>
    </w:p>
    <w:p>
      <w:pPr>
        <w:pStyle w:val="ListBullet"/>
      </w:pPr>
      <w:r>
        <w:t>Transaktionsvolumen über EUR 1 Mio. in den letzten 12 Monaten</w:t>
      </w:r>
    </w:p>
    <w:p>
      <w:pPr>
        <w:pStyle w:val="ListBullet"/>
      </w:pPr>
      <w:r>
        <w:t>Kundendomizil in Ländern mit erhöhtem Geldwäscherisiko (FATF Grey List oder Hochrisikodrittland)</w:t>
      </w:r>
    </w:p>
    <w:p/>
    <w:p>
      <w:pPr>
        <w:pStyle w:val="Heading2"/>
      </w:pPr>
      <w:r>
        <w:rPr>
          <w:rFonts w:ascii="Times New Roman" w:hAnsi="Times New Roman"/>
        </w:rPr>
        <w:t>Ergebnisse der Stichprobenprüfung</w:t>
      </w:r>
    </w:p>
    <w:p>
      <w:pPr>
        <w:pStyle w:val="Heading3"/>
      </w:pPr>
      <w:r>
        <w:rPr>
          <w:rFonts w:ascii="Times New Roman" w:hAnsi="Times New Roman"/>
        </w:rPr>
        <w:t>Kunde HR-01 (Investmentgesellschaft, Dubai)</w:t>
      </w:r>
    </w:p>
    <w:p>
      <w:pPr>
        <w:pStyle w:val="ListBullet"/>
      </w:pPr>
      <w:r>
        <w:rPr>
          <w:b/>
        </w:rPr>
        <w:t>Risikoklasse:</w:t>
      </w:r>
      <w:r>
        <w:t xml:space="preserve"> 4</w:t>
      </w:r>
    </w:p>
    <w:p>
      <w:pPr>
        <w:pStyle w:val="ListBullet"/>
      </w:pPr>
      <w:r>
        <w:rPr>
          <w:b/>
        </w:rPr>
        <w:t>KYC-Status:</w:t>
      </w:r>
      <w:r>
        <w:t xml:space="preserve"> Grundidentifizierung vorhanden</w:t>
      </w:r>
    </w:p>
    <w:p>
      <w:pPr>
        <w:pStyle w:val="ListBullet"/>
      </w:pPr>
      <w:r>
        <w:rPr>
          <w:b/>
        </w:rPr>
        <w:t>Befund:</w:t>
      </w:r>
      <w:r>
        <w:t xml:space="preserve"> Wirtschaftlich Berechtigte korrekt identifiziert; aktuelles Organigramm fehlt (letzte Aktualisierung März 2023).</w:t>
      </w:r>
    </w:p>
    <w:p>
      <w:pPr>
        <w:pStyle w:val="ListBullet"/>
      </w:pPr>
      <w:r>
        <w:rPr>
          <w:b/>
        </w:rPr>
        <w:t>Mangel:</w:t>
      </w:r>
      <w:r>
        <w:t xml:space="preserve"> Mittelschwer — Aktualisierungspflicht § 10 Abs. 3 GwG verletzt.</w:t>
      </w:r>
    </w:p>
    <w:p>
      <w:pPr>
        <w:pStyle w:val="Heading3"/>
      </w:pPr>
      <w:r>
        <w:rPr>
          <w:rFonts w:ascii="Times New Roman" w:hAnsi="Times New Roman"/>
        </w:rPr>
        <w:t>Kunde HR-03 (Einzelperson, Zypern)</w:t>
      </w:r>
    </w:p>
    <w:p>
      <w:pPr>
        <w:pStyle w:val="ListBullet"/>
      </w:pPr>
      <w:r>
        <w:rPr>
          <w:b/>
        </w:rPr>
        <w:t>Risikoklasse:</w:t>
      </w:r>
      <w:r>
        <w:t xml:space="preserve"> 4</w:t>
      </w:r>
    </w:p>
    <w:p>
      <w:pPr>
        <w:pStyle w:val="ListBullet"/>
      </w:pPr>
      <w:r>
        <w:rPr>
          <w:b/>
        </w:rPr>
        <w:t>KYC-Status:</w:t>
      </w:r>
      <w:r>
        <w:t xml:space="preserve"> Kritische Lücke</w:t>
      </w:r>
    </w:p>
    <w:p>
      <w:pPr>
        <w:pStyle w:val="ListBullet"/>
      </w:pPr>
      <w:r>
        <w:rPr>
          <w:b/>
        </w:rPr>
        <w:t>Befund:</w:t>
      </w:r>
      <w:r>
        <w:t xml:space="preserve"> Wirtschaftlich Berechtigter gemäß § 3 Abs. 1 GwG nicht festgestellt. Transaktionen i.H.v. EUR 3,2 Mio. wurden ohne vollständige WiB-Feststellung abgewickelt.</w:t>
      </w:r>
    </w:p>
    <w:p>
      <w:pPr>
        <w:pStyle w:val="ListBullet"/>
      </w:pPr>
      <w:r>
        <w:rPr>
          <w:b/>
        </w:rPr>
        <w:t>Mangel:</w:t>
      </w:r>
      <w:r>
        <w:t xml:space="preserve"> Schwerwiegend — Kernpflicht nach § 10 Abs. 1 Nr. 2 GwG verletzt.</w:t>
      </w:r>
    </w:p>
    <w:p>
      <w:pPr>
        <w:pStyle w:val="Heading3"/>
      </w:pPr>
      <w:r>
        <w:rPr>
          <w:rFonts w:ascii="Times New Roman" w:hAnsi="Times New Roman"/>
        </w:rPr>
        <w:t>Kunde HR-05 (Family Office, Luxemburg)</w:t>
      </w:r>
    </w:p>
    <w:p>
      <w:pPr>
        <w:pStyle w:val="ListBullet"/>
      </w:pPr>
      <w:r>
        <w:rPr>
          <w:b/>
        </w:rPr>
        <w:t>Risikoklasse:</w:t>
      </w:r>
      <w:r>
        <w:t xml:space="preserve"> 3</w:t>
      </w:r>
    </w:p>
    <w:p>
      <w:pPr>
        <w:pStyle w:val="ListBullet"/>
      </w:pPr>
      <w:r>
        <w:rPr>
          <w:b/>
        </w:rPr>
        <w:t>KYC-Status:</w:t>
      </w:r>
      <w:r>
        <w:t xml:space="preserve"> Weitgehend vollständig</w:t>
      </w:r>
    </w:p>
    <w:p>
      <w:pPr>
        <w:pStyle w:val="ListBullet"/>
      </w:pPr>
      <w:r>
        <w:rPr>
          <w:b/>
        </w:rPr>
        <w:t>Befund:</w:t>
      </w:r>
      <w:r>
        <w:t xml:space="preserve"> PEP-Screening ergab keinen Treffer; interne Dokumentation lückenlos.</w:t>
      </w:r>
    </w:p>
    <w:p>
      <w:pPr>
        <w:pStyle w:val="ListBullet"/>
      </w:pPr>
      <w:r>
        <w:rPr>
          <w:b/>
        </w:rPr>
        <w:t>Mangel:</w:t>
      </w:r>
      <w:r>
        <w:t xml:space="preserve"> Kein wesentlicher Befund; Aktualisierungsintervall ordnungsgemäß.</w:t>
      </w:r>
    </w:p>
    <w:p>
      <w:pPr>
        <w:pStyle w:val="Heading3"/>
      </w:pPr>
      <w:r>
        <w:rPr>
          <w:rFonts w:ascii="Times New Roman" w:hAnsi="Times New Roman"/>
        </w:rPr>
        <w:t>Kunde HR-07 (Stiftung, Liechtenstein)</w:t>
      </w:r>
    </w:p>
    <w:p>
      <w:pPr>
        <w:pStyle w:val="ListBullet"/>
      </w:pPr>
      <w:r>
        <w:rPr>
          <w:b/>
        </w:rPr>
        <w:t>Risikoklasse:</w:t>
      </w:r>
      <w:r>
        <w:t xml:space="preserve"> 4</w:t>
      </w:r>
    </w:p>
    <w:p>
      <w:pPr>
        <w:pStyle w:val="ListBullet"/>
      </w:pPr>
      <w:r>
        <w:rPr>
          <w:b/>
        </w:rPr>
        <w:t>KYC-Status:</w:t>
      </w:r>
      <w:r>
        <w:t xml:space="preserve"> Kritische Lücke</w:t>
      </w:r>
    </w:p>
    <w:p>
      <w:pPr>
        <w:pStyle w:val="ListBullet"/>
      </w:pPr>
      <w:r>
        <w:rPr>
          <w:b/>
        </w:rPr>
        <w:t>Befund:</w:t>
      </w:r>
      <w:r>
        <w:t xml:space="preserve"> Herkunft der eingebrachten Fondsmittel (EUR 18,7 Mio.) nicht hinreichend dokumentiert. Vorliegende Unterlagen beschränken sich auf eine einseitige Erklärung des Stiftungsrats ohne Belege. Zugleich ist dieser Kunde Partei von Transaktionen, die im MAR-Kontext relevant sind (Token TN).</w:t>
      </w:r>
    </w:p>
    <w:p>
      <w:pPr>
        <w:pStyle w:val="ListBullet"/>
      </w:pPr>
      <w:r>
        <w:rPr>
          <w:b/>
        </w:rPr>
        <w:t>Mangel:</w:t>
      </w:r>
      <w:r>
        <w:t xml:space="preserve"> Schwerwiegend — § 15 Abs. 4 GwG (verstärkte Sorgfaltspflichten: Herkunft der Mittel) verletzt.</w:t>
      </w:r>
    </w:p>
    <w:p>
      <w:pPr>
        <w:pStyle w:val="Heading3"/>
      </w:pPr>
      <w:r>
        <w:rPr>
          <w:rFonts w:ascii="Times New Roman" w:hAnsi="Times New Roman"/>
        </w:rPr>
        <w:t>Kunde HR-09 (Kryptounternehmen, El Salvador)</w:t>
      </w:r>
    </w:p>
    <w:p>
      <w:pPr>
        <w:pStyle w:val="ListBullet"/>
      </w:pPr>
      <w:r>
        <w:rPr>
          <w:b/>
        </w:rPr>
        <w:t>Risikoklasse:</w:t>
      </w:r>
      <w:r>
        <w:t xml:space="preserve"> 4</w:t>
      </w:r>
    </w:p>
    <w:p>
      <w:pPr>
        <w:pStyle w:val="ListBullet"/>
      </w:pPr>
      <w:r>
        <w:rPr>
          <w:b/>
        </w:rPr>
        <w:t>KYC-Status:</w:t>
      </w:r>
      <w:r>
        <w:t xml:space="preserve"> Lückenhaft</w:t>
      </w:r>
    </w:p>
    <w:p>
      <w:pPr>
        <w:pStyle w:val="ListBullet"/>
      </w:pPr>
      <w:r>
        <w:rPr>
          <w:b/>
        </w:rPr>
        <w:t>Befund:</w:t>
      </w:r>
      <w:r>
        <w:t xml:space="preserve"> El Salvador ist seit 2021 auf der FATF-Beobachtungsliste. Verstärkte Sorgfaltspflichten nach § 15 Abs. 3 Nr. 2 GwG hätten angewendet werden müssen. Tatsächlich wurden nur allgemeine Sorgfaltspflichten durchgeführt.</w:t>
      </w:r>
    </w:p>
    <w:p>
      <w:pPr>
        <w:pStyle w:val="ListBullet"/>
      </w:pPr>
      <w:r>
        <w:rPr>
          <w:b/>
        </w:rPr>
        <w:t>Mangel:</w:t>
      </w:r>
      <w:r>
        <w:t xml:space="preserve"> Schwerwiegend — Länderspezifische Hochrisikoeinstufung nicht berücksichtigt.</w:t>
      </w:r>
    </w:p>
    <w:p>
      <w:pPr>
        <w:pStyle w:val="Heading3"/>
      </w:pPr>
      <w:r>
        <w:rPr>
          <w:rFonts w:ascii="Times New Roman" w:hAnsi="Times New Roman"/>
        </w:rPr>
        <w:t>Kunde HR-11 (Einzelperson, Georgien)</w:t>
      </w:r>
    </w:p>
    <w:p>
      <w:pPr>
        <w:pStyle w:val="ListBullet"/>
      </w:pPr>
      <w:r>
        <w:rPr>
          <w:b/>
        </w:rPr>
        <w:t>Risikoklasse:</w:t>
      </w:r>
      <w:r>
        <w:t xml:space="preserve"> 3 (bei Onboarding)</w:t>
      </w:r>
    </w:p>
    <w:p>
      <w:pPr>
        <w:pStyle w:val="ListBullet"/>
      </w:pPr>
      <w:r>
        <w:rPr>
          <w:b/>
        </w:rPr>
        <w:t>KYC-Status:</w:t>
      </w:r>
      <w:r>
        <w:t xml:space="preserve"> PEP-Fehler</w:t>
      </w:r>
    </w:p>
    <w:p>
      <w:pPr>
        <w:pStyle w:val="ListBullet"/>
      </w:pPr>
      <w:r>
        <w:rPr>
          <w:b/>
        </w:rPr>
        <w:t>Befund:</w:t>
      </w:r>
      <w:r>
        <w:t xml:space="preserve"> Der Kunde ist ein ehemaliger Ministerialbeamter Georgiens. Er wurde beim Onboarding 2022 nicht als PEP erkannt; das PEP-Screening-System von SymphonyAI enthält keine Einträge für mittlere Positionen in der georgischen Ministerialverwaltung. Nachträglich durch Pressebericht identifiziert.</w:t>
      </w:r>
    </w:p>
    <w:p>
      <w:pPr>
        <w:pStyle w:val="ListBullet"/>
      </w:pPr>
      <w:r>
        <w:rPr>
          <w:b/>
        </w:rPr>
        <w:t>Mangel:</w:t>
      </w:r>
      <w:r>
        <w:t xml:space="preserve"> Schwerwiegend — § 15 Abs. 3 Nr. 1 GwG (PEP-Feststellung) verletzt. Vgl. 09-pep-screening-fehler.md.</w:t>
      </w:r>
    </w:p>
    <w:p>
      <w:pPr>
        <w:pStyle w:val="Heading3"/>
      </w:pPr>
      <w:r>
        <w:rPr>
          <w:rFonts w:ascii="Times New Roman" w:hAnsi="Times New Roman"/>
        </w:rPr>
        <w:t>Kunde HR-15 (Investmentfonds, Cayman Islands)</w:t>
      </w:r>
    </w:p>
    <w:p>
      <w:pPr>
        <w:pStyle w:val="ListBullet"/>
      </w:pPr>
      <w:r>
        <w:rPr>
          <w:b/>
        </w:rPr>
        <w:t>Risikoklasse:</w:t>
      </w:r>
      <w:r>
        <w:t xml:space="preserve"> 3</w:t>
      </w:r>
    </w:p>
    <w:p>
      <w:pPr>
        <w:pStyle w:val="ListBullet"/>
      </w:pPr>
      <w:r>
        <w:rPr>
          <w:b/>
        </w:rPr>
        <w:t>KYC-Status:</w:t>
      </w:r>
      <w:r>
        <w:t xml:space="preserve"> Weitgehend vollständig</w:t>
      </w:r>
    </w:p>
    <w:p>
      <w:pPr>
        <w:pStyle w:val="ListBullet"/>
      </w:pPr>
      <w:r>
        <w:rPr>
          <w:b/>
        </w:rPr>
        <w:t>Befund:</w:t>
      </w:r>
      <w:r>
        <w:t xml:space="preserve"> Cayman Islands sind Hochrisikodrittland i.S.v. § 15 Abs. 3 Nr. 2 GwG. Verstärkte Sorgfaltspflichten wurden korrekt angewendet, jedoch fehlt die Genehmigung durch die Geschäftsleitung (§ 15 Abs. 5 Nr. 2 GwG).</w:t>
      </w:r>
    </w:p>
    <w:p>
      <w:pPr>
        <w:pStyle w:val="ListBullet"/>
      </w:pPr>
      <w:r>
        <w:rPr>
          <w:b/>
        </w:rPr>
        <w:t>Mangel:</w:t>
      </w:r>
      <w:r>
        <w:t xml:space="preserve"> Mittelschwer — Formverletzung.</w:t>
      </w:r>
    </w:p>
    <w:p>
      <w:pPr>
        <w:pStyle w:val="Heading3"/>
      </w:pPr>
      <w:r>
        <w:rPr>
          <w:rFonts w:ascii="Times New Roman" w:hAnsi="Times New Roman"/>
        </w:rPr>
        <w:t>Kunde HR-19 (Hedgefonds, Singapur)</w:t>
      </w:r>
    </w:p>
    <w:p>
      <w:pPr>
        <w:pStyle w:val="ListBullet"/>
      </w:pPr>
      <w:r>
        <w:rPr>
          <w:b/>
        </w:rPr>
        <w:t>Risikoklasse:</w:t>
      </w:r>
      <w:r>
        <w:t xml:space="preserve"> 3</w:t>
      </w:r>
    </w:p>
    <w:p>
      <w:pPr>
        <w:pStyle w:val="ListBullet"/>
      </w:pPr>
      <w:r>
        <w:rPr>
          <w:b/>
        </w:rPr>
        <w:t>KYC-Status:</w:t>
      </w:r>
      <w:r>
        <w:t xml:space="preserve"> Veraltet</w:t>
      </w:r>
    </w:p>
    <w:p>
      <w:pPr>
        <w:pStyle w:val="ListBullet"/>
      </w:pPr>
      <w:r>
        <w:rPr>
          <w:b/>
        </w:rPr>
        <w:t>Befund:</w:t>
      </w:r>
      <w:r>
        <w:t xml:space="preserve"> Letzte vollständige KYC-Aktualisierung: August 2021. Aktualisierungsintervall von 24 Monaten (interne Richtlinie) stark überschritten. Umfangreiche Transaktionen (EUR 8,4 Mio. in 2025) ohne aktuelle KYC-Basis.</w:t>
      </w:r>
    </w:p>
    <w:p>
      <w:pPr>
        <w:pStyle w:val="ListBullet"/>
      </w:pPr>
      <w:r>
        <w:rPr>
          <w:b/>
        </w:rPr>
        <w:t>Mangel:</w:t>
      </w:r>
      <w:r>
        <w:t xml:space="preserve"> Schwerwiegend — § 10 Abs. 3 S. 4 GwG (Aktualisierungspflicht) verletzt.</w:t>
      </w:r>
    </w:p>
    <w:p/>
    <w:p>
      <w:pPr>
        <w:pStyle w:val="Heading2"/>
      </w:pPr>
      <w:r>
        <w:rPr>
          <w:rFonts w:ascii="Times New Roman" w:hAnsi="Times New Roman"/>
        </w:rPr>
        <w:t>Zusammenfassung Befundübersicht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Kunde</w:t>
            </w:r>
          </w:p>
        </w:tc>
        <w:tc>
          <w:tcPr>
            <w:tcW w:type="dxa" w:w="2268"/>
          </w:tcPr>
          <w:p>
            <w:r>
              <w:rPr>
                <w:rFonts w:ascii="Times New Roman" w:hAnsi="Times New Roman"/>
                <w:b/>
                <w:sz w:val="20"/>
              </w:rPr>
              <w:t>Risikoklasse</w:t>
            </w:r>
          </w:p>
        </w:tc>
        <w:tc>
          <w:tcPr>
            <w:tcW w:type="dxa" w:w="2268"/>
          </w:tcPr>
          <w:p>
            <w:r>
              <w:rPr>
                <w:rFonts w:ascii="Times New Roman" w:hAnsi="Times New Roman"/>
                <w:b/>
                <w:sz w:val="20"/>
              </w:rPr>
              <w:t>Hauptmangel</w:t>
            </w:r>
          </w:p>
        </w:tc>
        <w:tc>
          <w:tcPr>
            <w:tcW w:type="dxa" w:w="2268"/>
          </w:tcPr>
          <w:p>
            <w:r>
              <w:rPr>
                <w:rFonts w:ascii="Times New Roman" w:hAnsi="Times New Roman"/>
                <w:b/>
                <w:sz w:val="20"/>
              </w:rPr>
              <w:t>Schweregrad</w:t>
            </w:r>
          </w:p>
        </w:tc>
      </w:tr>
      <w:tr>
        <w:tc>
          <w:tcPr>
            <w:tcW w:type="dxa" w:w="2268"/>
          </w:tcPr>
          <w:p>
            <w:r>
              <w:rPr>
                <w:rFonts w:ascii="Times New Roman" w:hAnsi="Times New Roman"/>
                <w:sz w:val="20"/>
              </w:rPr>
              <w:t>HR-01</w:t>
            </w:r>
          </w:p>
        </w:tc>
        <w:tc>
          <w:tcPr>
            <w:tcW w:type="dxa" w:w="2268"/>
          </w:tcPr>
          <w:p>
            <w:r>
              <w:rPr>
                <w:rFonts w:ascii="Times New Roman" w:hAnsi="Times New Roman"/>
                <w:sz w:val="20"/>
              </w:rPr>
              <w:t>4</w:t>
            </w:r>
          </w:p>
        </w:tc>
        <w:tc>
          <w:tcPr>
            <w:tcW w:type="dxa" w:w="2268"/>
          </w:tcPr>
          <w:p>
            <w:r>
              <w:rPr>
                <w:rFonts w:ascii="Times New Roman" w:hAnsi="Times New Roman"/>
                <w:sz w:val="20"/>
              </w:rPr>
              <w:t>Veraltetes Organigramm</w:t>
            </w:r>
          </w:p>
        </w:tc>
        <w:tc>
          <w:tcPr>
            <w:tcW w:type="dxa" w:w="2268"/>
          </w:tcPr>
          <w:p>
            <w:r>
              <w:rPr>
                <w:rFonts w:ascii="Times New Roman" w:hAnsi="Times New Roman"/>
                <w:sz w:val="20"/>
              </w:rPr>
              <w:t>Mittel</w:t>
            </w:r>
          </w:p>
        </w:tc>
      </w:tr>
      <w:tr>
        <w:tc>
          <w:tcPr>
            <w:tcW w:type="dxa" w:w="2268"/>
          </w:tcPr>
          <w:p>
            <w:r>
              <w:rPr>
                <w:rFonts w:ascii="Times New Roman" w:hAnsi="Times New Roman"/>
                <w:sz w:val="20"/>
              </w:rPr>
              <w:t>HR-03</w:t>
            </w:r>
          </w:p>
        </w:tc>
        <w:tc>
          <w:tcPr>
            <w:tcW w:type="dxa" w:w="2268"/>
          </w:tcPr>
          <w:p>
            <w:r>
              <w:rPr>
                <w:rFonts w:ascii="Times New Roman" w:hAnsi="Times New Roman"/>
                <w:sz w:val="20"/>
              </w:rPr>
              <w:t>4</w:t>
            </w:r>
          </w:p>
        </w:tc>
        <w:tc>
          <w:tcPr>
            <w:tcW w:type="dxa" w:w="2268"/>
          </w:tcPr>
          <w:p>
            <w:r>
              <w:rPr>
                <w:rFonts w:ascii="Times New Roman" w:hAnsi="Times New Roman"/>
                <w:sz w:val="20"/>
              </w:rPr>
              <w:t>WiB nicht festgestellt</w:t>
            </w:r>
          </w:p>
        </w:tc>
        <w:tc>
          <w:tcPr>
            <w:tcW w:type="dxa" w:w="2268"/>
          </w:tcPr>
          <w:p>
            <w:r>
              <w:rPr>
                <w:rFonts w:ascii="Times New Roman" w:hAnsi="Times New Roman"/>
                <w:sz w:val="20"/>
              </w:rPr>
              <w:t>Schwer</w:t>
            </w:r>
          </w:p>
        </w:tc>
      </w:tr>
      <w:tr>
        <w:tc>
          <w:tcPr>
            <w:tcW w:type="dxa" w:w="2268"/>
          </w:tcPr>
          <w:p>
            <w:r>
              <w:rPr>
                <w:rFonts w:ascii="Times New Roman" w:hAnsi="Times New Roman"/>
                <w:sz w:val="20"/>
              </w:rPr>
              <w:t>HR-05</w:t>
            </w:r>
          </w:p>
        </w:tc>
        <w:tc>
          <w:tcPr>
            <w:tcW w:type="dxa" w:w="2268"/>
          </w:tcPr>
          <w:p>
            <w:r>
              <w:rPr>
                <w:rFonts w:ascii="Times New Roman" w:hAnsi="Times New Roman"/>
                <w:sz w:val="20"/>
              </w:rPr>
              <w:t>3</w:t>
            </w:r>
          </w:p>
        </w:tc>
        <w:tc>
          <w:tcPr>
            <w:tcW w:type="dxa" w:w="2268"/>
          </w:tcPr>
          <w:p>
            <w:r>
              <w:rPr>
                <w:rFonts w:ascii="Times New Roman" w:hAnsi="Times New Roman"/>
                <w:sz w:val="20"/>
              </w:rPr>
              <w:t>Kein wesentlicher Befund</w:t>
            </w:r>
          </w:p>
        </w:tc>
        <w:tc>
          <w:tcPr>
            <w:tcW w:type="dxa" w:w="2268"/>
          </w:tcPr>
          <w:p>
            <w:r>
              <w:rPr>
                <w:rFonts w:ascii="Times New Roman" w:hAnsi="Times New Roman"/>
                <w:sz w:val="20"/>
              </w:rPr>
              <w:t>-</w:t>
            </w:r>
          </w:p>
        </w:tc>
      </w:tr>
      <w:tr>
        <w:tc>
          <w:tcPr>
            <w:tcW w:type="dxa" w:w="2268"/>
          </w:tcPr>
          <w:p>
            <w:r>
              <w:rPr>
                <w:rFonts w:ascii="Times New Roman" w:hAnsi="Times New Roman"/>
                <w:sz w:val="20"/>
              </w:rPr>
              <w:t>HR-07</w:t>
            </w:r>
          </w:p>
        </w:tc>
        <w:tc>
          <w:tcPr>
            <w:tcW w:type="dxa" w:w="2268"/>
          </w:tcPr>
          <w:p>
            <w:r>
              <w:rPr>
                <w:rFonts w:ascii="Times New Roman" w:hAnsi="Times New Roman"/>
                <w:sz w:val="20"/>
              </w:rPr>
              <w:t>4</w:t>
            </w:r>
          </w:p>
        </w:tc>
        <w:tc>
          <w:tcPr>
            <w:tcW w:type="dxa" w:w="2268"/>
          </w:tcPr>
          <w:p>
            <w:r>
              <w:rPr>
                <w:rFonts w:ascii="Times New Roman" w:hAnsi="Times New Roman"/>
                <w:sz w:val="20"/>
              </w:rPr>
              <w:t>Mittelherkunft unklar</w:t>
            </w:r>
          </w:p>
        </w:tc>
        <w:tc>
          <w:tcPr>
            <w:tcW w:type="dxa" w:w="2268"/>
          </w:tcPr>
          <w:p>
            <w:r>
              <w:rPr>
                <w:rFonts w:ascii="Times New Roman" w:hAnsi="Times New Roman"/>
                <w:sz w:val="20"/>
              </w:rPr>
              <w:t>Schwer</w:t>
            </w:r>
          </w:p>
        </w:tc>
      </w:tr>
      <w:tr>
        <w:tc>
          <w:tcPr>
            <w:tcW w:type="dxa" w:w="2268"/>
          </w:tcPr>
          <w:p>
            <w:r>
              <w:rPr>
                <w:rFonts w:ascii="Times New Roman" w:hAnsi="Times New Roman"/>
                <w:sz w:val="20"/>
              </w:rPr>
              <w:t>HR-09</w:t>
            </w:r>
          </w:p>
        </w:tc>
        <w:tc>
          <w:tcPr>
            <w:tcW w:type="dxa" w:w="2268"/>
          </w:tcPr>
          <w:p>
            <w:r>
              <w:rPr>
                <w:rFonts w:ascii="Times New Roman" w:hAnsi="Times New Roman"/>
                <w:sz w:val="20"/>
              </w:rPr>
              <w:t>4</w:t>
            </w:r>
          </w:p>
        </w:tc>
        <w:tc>
          <w:tcPr>
            <w:tcW w:type="dxa" w:w="2268"/>
          </w:tcPr>
          <w:p>
            <w:r>
              <w:rPr>
                <w:rFonts w:ascii="Times New Roman" w:hAnsi="Times New Roman"/>
                <w:sz w:val="20"/>
              </w:rPr>
              <w:t>Länderspezifische Hochrisikoprüfung unterblieben</w:t>
            </w:r>
          </w:p>
        </w:tc>
        <w:tc>
          <w:tcPr>
            <w:tcW w:type="dxa" w:w="2268"/>
          </w:tcPr>
          <w:p>
            <w:r>
              <w:rPr>
                <w:rFonts w:ascii="Times New Roman" w:hAnsi="Times New Roman"/>
                <w:sz w:val="20"/>
              </w:rPr>
              <w:t>Schwer</w:t>
            </w:r>
          </w:p>
        </w:tc>
      </w:tr>
      <w:tr>
        <w:tc>
          <w:tcPr>
            <w:tcW w:type="dxa" w:w="2268"/>
          </w:tcPr>
          <w:p>
            <w:r>
              <w:rPr>
                <w:rFonts w:ascii="Times New Roman" w:hAnsi="Times New Roman"/>
                <w:sz w:val="20"/>
              </w:rPr>
              <w:t>HR-11</w:t>
            </w:r>
          </w:p>
        </w:tc>
        <w:tc>
          <w:tcPr>
            <w:tcW w:type="dxa" w:w="2268"/>
          </w:tcPr>
          <w:p>
            <w:r>
              <w:rPr>
                <w:rFonts w:ascii="Times New Roman" w:hAnsi="Times New Roman"/>
                <w:sz w:val="20"/>
              </w:rPr>
              <w:t>3</w:t>
            </w:r>
          </w:p>
        </w:tc>
        <w:tc>
          <w:tcPr>
            <w:tcW w:type="dxa" w:w="2268"/>
          </w:tcPr>
          <w:p>
            <w:r>
              <w:rPr>
                <w:rFonts w:ascii="Times New Roman" w:hAnsi="Times New Roman"/>
                <w:sz w:val="20"/>
              </w:rPr>
              <w:t>PEP nicht erkannt</w:t>
            </w:r>
          </w:p>
        </w:tc>
        <w:tc>
          <w:tcPr>
            <w:tcW w:type="dxa" w:w="2268"/>
          </w:tcPr>
          <w:p>
            <w:r>
              <w:rPr>
                <w:rFonts w:ascii="Times New Roman" w:hAnsi="Times New Roman"/>
                <w:sz w:val="20"/>
              </w:rPr>
              <w:t>Schwer</w:t>
            </w:r>
          </w:p>
        </w:tc>
      </w:tr>
      <w:tr>
        <w:tc>
          <w:tcPr>
            <w:tcW w:type="dxa" w:w="2268"/>
          </w:tcPr>
          <w:p>
            <w:r>
              <w:rPr>
                <w:rFonts w:ascii="Times New Roman" w:hAnsi="Times New Roman"/>
                <w:sz w:val="20"/>
              </w:rPr>
              <w:t>HR-15</w:t>
            </w:r>
          </w:p>
        </w:tc>
        <w:tc>
          <w:tcPr>
            <w:tcW w:type="dxa" w:w="2268"/>
          </w:tcPr>
          <w:p>
            <w:r>
              <w:rPr>
                <w:rFonts w:ascii="Times New Roman" w:hAnsi="Times New Roman"/>
                <w:sz w:val="20"/>
              </w:rPr>
              <w:t>3</w:t>
            </w:r>
          </w:p>
        </w:tc>
        <w:tc>
          <w:tcPr>
            <w:tcW w:type="dxa" w:w="2268"/>
          </w:tcPr>
          <w:p>
            <w:r>
              <w:rPr>
                <w:rFonts w:ascii="Times New Roman" w:hAnsi="Times New Roman"/>
                <w:sz w:val="20"/>
              </w:rPr>
              <w:t>GF-Genehmigung fehlt</w:t>
            </w:r>
          </w:p>
        </w:tc>
        <w:tc>
          <w:tcPr>
            <w:tcW w:type="dxa" w:w="2268"/>
          </w:tcPr>
          <w:p>
            <w:r>
              <w:rPr>
                <w:rFonts w:ascii="Times New Roman" w:hAnsi="Times New Roman"/>
                <w:sz w:val="20"/>
              </w:rPr>
              <w:t>Mittel</w:t>
            </w:r>
          </w:p>
        </w:tc>
      </w:tr>
      <w:tr>
        <w:tc>
          <w:tcPr>
            <w:tcW w:type="dxa" w:w="2268"/>
          </w:tcPr>
          <w:p>
            <w:r>
              <w:rPr>
                <w:rFonts w:ascii="Times New Roman" w:hAnsi="Times New Roman"/>
                <w:sz w:val="20"/>
              </w:rPr>
              <w:t>HR-19</w:t>
            </w:r>
          </w:p>
        </w:tc>
        <w:tc>
          <w:tcPr>
            <w:tcW w:type="dxa" w:w="2268"/>
          </w:tcPr>
          <w:p>
            <w:r>
              <w:rPr>
                <w:rFonts w:ascii="Times New Roman" w:hAnsi="Times New Roman"/>
                <w:sz w:val="20"/>
              </w:rPr>
              <w:t>3</w:t>
            </w:r>
          </w:p>
        </w:tc>
        <w:tc>
          <w:tcPr>
            <w:tcW w:type="dxa" w:w="2268"/>
          </w:tcPr>
          <w:p>
            <w:r>
              <w:rPr>
                <w:rFonts w:ascii="Times New Roman" w:hAnsi="Times New Roman"/>
                <w:sz w:val="20"/>
              </w:rPr>
              <w:t>KYC veraltet (5 Jahre)</w:t>
            </w:r>
          </w:p>
        </w:tc>
        <w:tc>
          <w:tcPr>
            <w:tcW w:type="dxa" w:w="2268"/>
          </w:tcPr>
          <w:p>
            <w:r>
              <w:rPr>
                <w:rFonts w:ascii="Times New Roman" w:hAnsi="Times New Roman"/>
                <w:sz w:val="20"/>
              </w:rPr>
              <w:t>Schwer</w:t>
            </w:r>
          </w:p>
        </w:tc>
      </w:tr>
    </w:tbl>
    <w:p>
      <w:pPr>
        <w:jc w:val="left"/>
      </w:pPr>
      <w:r>
        <w:rPr>
          <w:b/>
        </w:rPr>
        <w:t>5 von 8 Kunden: schwerwiegende Mängel.</w:t>
      </w:r>
      <w:r>
        <w:t xml:space="preserve"> Dieser Befund wird nach Einschätzung der Kanzlei im Anhörungsverfahren besonderes Gewicht haben.</w:t>
      </w:r>
    </w:p>
    <w:p>
      <w:pPr>
        <w:jc w:val="left"/>
      </w:pPr>
      <w:r>
        <w:rPr>
          <w:b/>
        </w:rPr>
        <w:t>Vgl.:</w:t>
      </w:r>
      <w:r>
        <w:t xml:space="preserve"> xlsx/kundenidentifikation-kyc-mangelpruefung.xlsx</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Stichprobe BaFin: 8 Hochrisikokunden (Kategorie 3 und 4)</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Stichprobe BaFin: 8 Hochrisikokunden (Kategorie 3 und 4)</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