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09 — PEP-Screening-Fehler</w:t>
      </w:r>
    </w:p>
    <w:p>
      <w:pPr>
        <w:jc w:val="left"/>
      </w:pPr>
      <w:r>
        <w:rPr>
          <w:b/>
        </w:rPr>
        <w:t>Rechtsgrundlage:</w:t>
      </w:r>
      <w:r>
        <w:t xml:space="preserve"> § 10 Abs. 1 Nr. 4, § 15 Abs. 3 Nr. 1, Abs. 5 GwG; BaFin-Auslegungshinweise GwG (Oktober 2021)</w:t>
      </w:r>
    </w:p>
    <w:p>
      <w:pPr>
        <w:jc w:val="left"/>
      </w:pPr>
      <w:r>
        <w:rPr>
          <w:b/>
        </w:rPr>
        <w:t>Betroffene Kunden:</w:t>
      </w:r>
      <w:r>
        <w:t xml:space="preserve"> HR-11 (Georgien), HR-23 (Moldau), HR-31 (Nordmazedonien)</w:t>
      </w:r>
    </w:p>
    <w:p>
      <w:pPr>
        <w:jc w:val="left"/>
      </w:pPr>
      <w:r>
        <w:rPr>
          <w:b/>
        </w:rPr>
        <w:t>PEP-Screening-Anbieter:</w:t>
      </w:r>
      <w:r>
        <w:t xml:space="preserve"> SymphonyAI Sensa (Vertrag seit 2021, zuletzt aktualisiert Oktober 2022)</w:t>
      </w:r>
    </w:p>
    <w:p/>
    <w:p>
      <w:pPr>
        <w:pStyle w:val="Heading2"/>
      </w:pPr>
      <w:r>
        <w:rPr>
          <w:rFonts w:ascii="Times New Roman" w:hAnsi="Times New Roman"/>
        </w:rPr>
        <w:t>Rechtlicher Rahmen</w:t>
      </w:r>
    </w:p>
    <w:p>
      <w:pPr>
        <w:jc w:val="left"/>
      </w:pPr>
      <w:r>
        <w:t>Politisch exponierte Personen (PEP) i.S.d. § 1 Abs. 12 GwG unterliegen nach § 15 Abs. 3 Nr. 1 GwG verschärften Anforderungen. Dazu zählen:</w:t>
      </w:r>
    </w:p>
    <w:p>
      <w:pPr>
        <w:pStyle w:val="ListBullet"/>
      </w:pPr>
      <w:r>
        <w:t>Einholung der Zustimmung der Geschäftsleitung vor Begründung der Geschäftsbeziehung (§ 15 Abs. 5 Nr. 2 GwG)</w:t>
      </w:r>
    </w:p>
    <w:p>
      <w:pPr>
        <w:pStyle w:val="ListBullet"/>
      </w:pPr>
      <w:r>
        <w:t>Feststellung der Herkunft der eingesetzten Vermögenswerte (§ 15 Abs. 5 Nr. 3 GwG)</w:t>
      </w:r>
    </w:p>
    <w:p>
      <w:pPr>
        <w:pStyle w:val="ListBullet"/>
      </w:pPr>
      <w:r>
        <w:t>Laufende, verstärkte Überwachung der Geschäftsbeziehung (§ 15 Abs. 5 Nr. 4 GwG)</w:t>
      </w:r>
    </w:p>
    <w:p>
      <w:pPr>
        <w:jc w:val="left"/>
      </w:pPr>
      <w:r>
        <w:t>Der Begriff "PEP" umfasst nach § 1 Abs. 12 Nr. 4 GwG auch Mitglieder von Leitungsorganen staatseigener Unternehmen sowie deren unmittelbare Familienangehörige (§ 1 Abs. 13 GwG) und bekannte enge Mitarbeiter (§ 1 Abs. 14 GwG).</w:t>
      </w:r>
    </w:p>
    <w:p/>
    <w:p>
      <w:pPr>
        <w:pStyle w:val="Heading2"/>
      </w:pPr>
      <w:r>
        <w:rPr>
          <w:rFonts w:ascii="Times New Roman" w:hAnsi="Times New Roman"/>
        </w:rPr>
        <w:t>Technische Ursache des Screening-Fehlers</w:t>
      </w:r>
    </w:p>
    <w:p>
      <w:pPr>
        <w:jc w:val="left"/>
      </w:pPr>
      <w:r>
        <w:t>Das SymphonyAI-Sensa-System wird von Thalvenia für alle Kunden beim Onboarding und danach jährlich eingesetzt. Der Vertrag mit SymphonyAI sieht folgende Leistungen vor:</w:t>
      </w:r>
    </w:p>
    <w:p>
      <w:pPr>
        <w:pStyle w:val="ListBullet"/>
      </w:pPr>
      <w:r>
        <w:t>Weltweite PEP-Datenbank: Tier 1 (Staatsoberhäupter, Minister, Parlamentarier)</w:t>
      </w:r>
    </w:p>
    <w:p>
      <w:pPr>
        <w:pStyle w:val="ListBullet"/>
      </w:pPr>
      <w:r>
        <w:t>Sanktionslisten: EU, USA (OFAC), UN, Großbritannien</w:t>
      </w:r>
    </w:p>
    <w:p>
      <w:pPr>
        <w:jc w:val="left"/>
      </w:pPr>
      <w:r>
        <w:rPr>
          <w:b/>
        </w:rPr>
        <w:t>Nicht enthalten:</w:t>
      </w:r>
      <w:r>
        <w:t xml:space="preserve"> Tier 2 (Vize-Minister, Staatssekretäre, mittlere Beamtenebene, regionale Politiker nicht-westlicher Staaten). Dies betrifft besonders Länder der früheren Sowjetunion und des Balkans, wo PEP-Definitionen breiter sind und die BaFin-Auslegungshinweise eine entsprechend erweiterte Datenabdeckung verlangen.</w:t>
      </w:r>
    </w:p>
    <w:p/>
    <w:p>
      <w:pPr>
        <w:pStyle w:val="Heading2"/>
      </w:pPr>
      <w:r>
        <w:rPr>
          <w:rFonts w:ascii="Times New Roman" w:hAnsi="Times New Roman"/>
        </w:rPr>
        <w:t>Einzelfälle</w:t>
      </w:r>
    </w:p>
    <w:p>
      <w:pPr>
        <w:pStyle w:val="Heading3"/>
      </w:pPr>
      <w:r>
        <w:rPr>
          <w:rFonts w:ascii="Times New Roman" w:hAnsi="Times New Roman"/>
        </w:rPr>
        <w:t>Kunde HR-11 — Georgischer Ministerialbeamter</w:t>
      </w:r>
    </w:p>
    <w:p>
      <w:pPr>
        <w:pStyle w:val="ListBullet"/>
      </w:pPr>
      <w:r>
        <w:t>Onboarding: März 2022</w:t>
      </w:r>
    </w:p>
    <w:p>
      <w:pPr>
        <w:pStyle w:val="ListBullet"/>
      </w:pPr>
      <w:r>
        <w:t>Funktion bei Onboarding: Leiter der Abteilung für Haushalt und Finanzen im georgischen Wirtschaftsministerium (Ministerialebene II, nicht Tier 1)</w:t>
      </w:r>
    </w:p>
    <w:p>
      <w:pPr>
        <w:pStyle w:val="ListBullet"/>
      </w:pPr>
      <w:r>
        <w:t>PEP-Screening-Ergebnis 2022: "Kein Treffer"</w:t>
      </w:r>
    </w:p>
    <w:p>
      <w:pPr>
        <w:pStyle w:val="ListBullet"/>
      </w:pPr>
      <w:r>
        <w:t>Entdeckung: August 2025, durch Pressebericht (Ermittlungsverfahren in Georgien)</w:t>
      </w:r>
    </w:p>
    <w:p>
      <w:pPr>
        <w:pStyle w:val="ListBullet"/>
      </w:pPr>
      <w:r>
        <w:t>Nachträgliche Einschätzung: PEP-Status nach § 1 Abs. 12 Nr. 4 GwG seit Onboarding gegeben</w:t>
      </w:r>
    </w:p>
    <w:p>
      <w:pPr>
        <w:jc w:val="left"/>
      </w:pPr>
      <w:r>
        <w:rPr>
          <w:b/>
        </w:rPr>
        <w:t>Konsequenz:</w:t>
      </w:r>
      <w:r>
        <w:t xml:space="preserve"> Sämtliche Transaktionen seit März 2022 (EUR 6,3 Mio.) wurden ohne GF-Genehmigung und ohne verstärkte Überwachung abgewickelt.</w:t>
      </w:r>
    </w:p>
    <w:p>
      <w:pPr>
        <w:pStyle w:val="Heading3"/>
      </w:pPr>
      <w:r>
        <w:rPr>
          <w:rFonts w:ascii="Times New Roman" w:hAnsi="Times New Roman"/>
        </w:rPr>
        <w:t>Kunde HR-23 — Moldauischer Bürgermeister a.D.</w:t>
      </w:r>
    </w:p>
    <w:p>
      <w:pPr>
        <w:pStyle w:val="ListBullet"/>
      </w:pPr>
      <w:r>
        <w:t>Onboarding: Juli 2023</w:t>
      </w:r>
    </w:p>
    <w:p>
      <w:pPr>
        <w:pStyle w:val="ListBullet"/>
      </w:pPr>
      <w:r>
        <w:t>Funktion: Ehemaliger Bürgermeister einer Stadt mit über 50.000 Einwohnern (Moldova); amtlich bis 2021</w:t>
      </w:r>
    </w:p>
    <w:p>
      <w:pPr>
        <w:pStyle w:val="ListBullet"/>
      </w:pPr>
      <w:r>
        <w:t>PEP-Screening-Ergebnis 2023: "Kein Treffer"</w:t>
      </w:r>
    </w:p>
    <w:p>
      <w:pPr>
        <w:pStyle w:val="ListBullet"/>
      </w:pPr>
      <w:r>
        <w:t>Technische Ursache: Bürgermeister mittelgroßer Städte in Moldova nicht in Tier-1-Datenbank erfasst</w:t>
      </w:r>
    </w:p>
    <w:p>
      <w:pPr>
        <w:pStyle w:val="ListBullet"/>
      </w:pPr>
      <w:r>
        <w:t>Nachträgliche Einschätzung: PEP-Status nach § 1 Abs. 12 Nr. 5 GwG (kommunale Leitungsorgane)</w:t>
      </w:r>
    </w:p>
    <w:p>
      <w:pPr>
        <w:pStyle w:val="Heading3"/>
      </w:pPr>
      <w:r>
        <w:rPr>
          <w:rFonts w:ascii="Times New Roman" w:hAnsi="Times New Roman"/>
        </w:rPr>
        <w:t>Kunde HR-31 — Nordmazedonischer Richter am Obersten Gericht</w:t>
      </w:r>
    </w:p>
    <w:p>
      <w:pPr>
        <w:pStyle w:val="ListBullet"/>
      </w:pPr>
      <w:r>
        <w:t>Onboarding: Januar 2024</w:t>
      </w:r>
    </w:p>
    <w:p>
      <w:pPr>
        <w:pStyle w:val="ListBullet"/>
      </w:pPr>
      <w:r>
        <w:t>Funktion: Aktiver Richter am Obersten Gericht Nordmazedoniens</w:t>
      </w:r>
    </w:p>
    <w:p>
      <w:pPr>
        <w:pStyle w:val="ListBullet"/>
      </w:pPr>
      <w:r>
        <w:t>PEP-Screening-Ergebnis 2024: "Kein Treffer"</w:t>
      </w:r>
    </w:p>
    <w:p>
      <w:pPr>
        <w:pStyle w:val="ListBullet"/>
      </w:pPr>
      <w:r>
        <w:t>Technische Ursache: Justizbehörden Nordmazedoniens nicht in Tier-1-Datenbank</w:t>
      </w:r>
    </w:p>
    <w:p>
      <w:pPr>
        <w:pStyle w:val="ListBullet"/>
      </w:pPr>
      <w:r>
        <w:t>Nachträgliche Einschätzung: PEP-Status nach § 1 Abs. 12 Nr. 6 GwG (leitende Mitglieder der Judikative)</w:t>
      </w:r>
    </w:p>
    <w:p/>
    <w:p>
      <w:pPr>
        <w:pStyle w:val="Heading2"/>
      </w:pPr>
      <w:r>
        <w:rPr>
          <w:rFonts w:ascii="Times New Roman" w:hAnsi="Times New Roman"/>
        </w:rPr>
        <w:t>Bewertung durch BaFin</w:t>
      </w:r>
    </w:p>
    <w:p>
      <w:pPr>
        <w:jc w:val="left"/>
      </w:pPr>
      <w:r>
        <w:t>Prüferin Wunderwald beurteilte die drei PEP-Fälle als systematischen Mangel, nicht als Einzelversagen. Das Institut hätte bei Aufnahme von Geschäftsbeziehungen mit natürlichen Personen aus osteuropäischen Ländern mit erhöhtem Korruptionsrisiko (CPI-Score &lt; 45) proaktiv eine erweiterte Datenbank verwenden müssen.</w:t>
      </w:r>
    </w:p>
    <w:p>
      <w:pPr>
        <w:jc w:val="left"/>
      </w:pPr>
      <w:r>
        <w:t>Die BaFin verweist auf ihre Auslegungshinweise GwG (Oktober 2021), Abschnitt zu § 1 Abs. 12, wonach Institute verpflichtet sind, die Qualität der verwendeten PEP-Datenbanken risikoadäquat zu prüfen und ggf. mehrere Datenbanken zu kombinieren.</w:t>
      </w:r>
    </w:p>
    <w:p/>
    <w:p>
      <w:pPr>
        <w:pStyle w:val="Heading2"/>
      </w:pPr>
      <w:r>
        <w:rPr>
          <w:rFonts w:ascii="Times New Roman" w:hAnsi="Times New Roman"/>
        </w:rPr>
        <w:t>Sofortmaßnahmen (Remediation)</w:t>
      </w:r>
    </w:p>
    <w:p>
      <w:pPr>
        <w:pStyle w:val="ListNumber"/>
      </w:pPr>
      <w:r>
        <w:t>Upgrade SymphonyAI-Sensa-Vertrag auf Tier-1 + Tier-2-Abdeckung (beauftragt April 2026).</w:t>
      </w:r>
    </w:p>
    <w:p>
      <w:pPr>
        <w:pStyle w:val="ListNumber"/>
      </w:pPr>
      <w:r>
        <w:t>Retrograde PEP-Überprüfung aller Hochrisikokunden aus Tier-2-relevanten Ländern (abgeschlossen Mai 2026).</w:t>
      </w:r>
    </w:p>
    <w:p>
      <w:pPr>
        <w:pStyle w:val="ListNumber"/>
      </w:pPr>
      <w:r>
        <w:t>Drei betroffene Kunden: formelle Nacherfüllung der PEP-Pflichten; GF-Genehmigungen nachgeholt; verstärkte Überwachung aktiviert.</w:t>
      </w:r>
    </w:p>
    <w:p>
      <w:pPr>
        <w:pStyle w:val="ListNumber"/>
      </w:pPr>
      <w:r>
        <w:t>Compliance-Schulung PEP-Erkennung: alle AML-relevanten Mitarbeiter (Juni 2026).</w:t>
      </w:r>
    </w:p>
    <w:p>
      <w:pPr>
        <w:jc w:val="left"/>
      </w:pPr>
      <w:r>
        <w:rPr>
          <w:b/>
        </w:rPr>
        <w:t>Vgl.:</w:t>
      </w:r>
      <w:r>
        <w:t xml:space="preserve"> 08-kundenidentifikation-kyc-mangel.md; 07-aml-pflichten-gwg-katalog.md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Rechtsgrundlage: § 10 Abs. 1 Nr. 4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Rechtsgrundlage: § 10 Abs. 1 Nr. 4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§ 15 Abs. 3 Nr. 1, Abs. 5 GwG; BaFin-Auslegungshinweise GwG (Oktober 2021)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