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MAR-Marktmissbrauchsvorwurf Token TN</w:t>
      </w:r>
    </w:p>
    <w:p>
      <w:pPr>
        <w:jc w:val="left"/>
      </w:pPr>
      <w:r>
        <w:rPr>
          <w:b/>
        </w:rPr>
        <w:t>Rechtsgrundlage:</w:t>
      </w:r>
      <w:r>
        <w:t xml:space="preserve"> Verordnung (EU) 596/2014 (MAR), insb. Art. 15 (Marktmanipulationsverbot); MiCAR Art. 89-92 (Marktmissbrauchsregeln für Kryptowerte)</w:t>
      </w:r>
    </w:p>
    <w:p>
      <w:pPr>
        <w:jc w:val="left"/>
      </w:pPr>
      <w:r>
        <w:rPr>
          <w:b/>
        </w:rPr>
        <w:t>Betroffenes Instrument:</w:t>
      </w:r>
      <w:r>
        <w:t xml:space="preserve"> Token TN (Utility-Token, nicht als Wertpapier klassifiziert; MiCAR-spezifisches Instrument)</w:t>
      </w:r>
    </w:p>
    <w:p>
      <w:pPr>
        <w:jc w:val="left"/>
      </w:pPr>
      <w:r>
        <w:rPr>
          <w:b/>
        </w:rPr>
        <w:t>BaFin-Prüfer:</w:t>
      </w:r>
      <w:r>
        <w:t xml:space="preserve"> Rolf Sandkamp, BaFin Referat WA 23 (Marktüberwachung)</w:t>
      </w:r>
    </w:p>
    <w:p>
      <w:pPr>
        <w:jc w:val="left"/>
      </w:pPr>
      <w:r>
        <w:rPr>
          <w:b/>
        </w:rPr>
        <w:t>Relevanter Zeitraum:</w:t>
      </w:r>
      <w:r>
        <w:t xml:space="preserve"> Oktober 2024 bis Januar 2026</w:t>
      </w:r>
    </w:p>
    <w:p/>
    <w:p>
      <w:pPr>
        <w:pStyle w:val="Heading2"/>
      </w:pPr>
      <w:r>
        <w:rPr>
          <w:rFonts w:ascii="Times New Roman" w:hAnsi="Times New Roman"/>
        </w:rPr>
        <w:t>Token TN — Hintergrund</w:t>
      </w:r>
    </w:p>
    <w:p>
      <w:pPr>
        <w:jc w:val="left"/>
      </w:pPr>
      <w:r>
        <w:t>Token TN ist ein Utility-Token eines deutschen Startups, der auf der Ethereum-Blockchain ausgegeben wird. Thalvenia Bank AG hat im Oktober 2024 begonnen, Token TN im eigenen Namen zu handeln (Eigenhandel). Gleichzeitig verwahrt das Institut Token TN für vier institutionelle Kunden, darunter Kunde HR-07.</w:t>
      </w:r>
    </w:p>
    <w:p>
      <w:pPr>
        <w:jc w:val="left"/>
      </w:pPr>
      <w:r>
        <w:t>Da Token TN keinem regulierten Handelsplatz i.S.d. MiFID II unterliegt, gelten die MAR-Regeln für Finanzinstrumente (Art. 2 Abs. 1 MAR) nicht unmittelbar. Jedoch gilt seit 30. Dezember 2024 Art. 89 MiCAR, der ein eigenständiges Marktmissbrauchsregime für Kryptowerte normiert, welches inhaltlich Art. 12-15 MAR nachgebildet ist.</w:t>
      </w:r>
    </w:p>
    <w:p/>
    <w:p>
      <w:pPr>
        <w:pStyle w:val="Heading2"/>
      </w:pPr>
      <w:r>
        <w:rPr>
          <w:rFonts w:ascii="Times New Roman" w:hAnsi="Times New Roman"/>
        </w:rPr>
        <w:t>Vorwurf</w:t>
      </w:r>
    </w:p>
    <w:p>
      <w:pPr>
        <w:jc w:val="left"/>
      </w:pPr>
      <w:r>
        <w:t>BaFin-Prüfer Sandkamp hat im Rahmen der Vor-Ort-Prüfung Handelsarchivdaten ausgewertet. Seine vorläufige Einschätzung (Prüfungsgespräch 22. Mai 2026):</w:t>
      </w:r>
    </w:p>
    <w:p>
      <w:pPr>
        <w:jc w:val="left"/>
      </w:pPr>
      <w:r>
        <w:t>Der Eigenhandel der Thalvenia Bank in Token TN zeigt für den Zeitraum November bis Dezember 2024 Muster, die auf koordinierte Kaufaufträge hindeuten könnten, die in Kombination mit Kaufaufträgen des Kunden HR-07 den Kurs von Token TN beeinflussen. Konkret:</w:t>
      </w:r>
    </w:p>
    <w:p>
      <w:pPr>
        <w:pStyle w:val="ListBullet"/>
      </w:pPr>
      <w:r>
        <w:rPr>
          <w:b/>
        </w:rPr>
        <w:t>Zeitraum 15.-22. November 2024:</w:t>
      </w:r>
      <w:r>
        <w:t xml:space="preserve"> Thalvenia kauft intern Token TN im Wert von EUR 4,2 Mio. Gleichzeitig kauft HR-07 (über Thalvenia als Verwahrer) Token TN im Wert von EUR 3,8 Mio.</w:t>
      </w:r>
    </w:p>
    <w:p>
      <w:pPr>
        <w:pStyle w:val="ListBullet"/>
      </w:pPr>
      <w:r>
        <w:rPr>
          <w:b/>
        </w:rPr>
        <w:t>Kurseffekt:</w:t>
      </w:r>
      <w:r>
        <w:t xml:space="preserve"> Token TN steigt in diesem Zeitraum um 38 %.</w:t>
      </w:r>
    </w:p>
    <w:p>
      <w:pPr>
        <w:pStyle w:val="ListBullet"/>
      </w:pPr>
      <w:r>
        <w:rPr>
          <w:b/>
        </w:rPr>
        <w:t>Zeitraum 5.-12. Dezember 2024:</w:t>
      </w:r>
      <w:r>
        <w:t xml:space="preserve"> Thalvenia verkauft intern Token TN im Wert von EUR 6,1 Mio. (teilweise Gewinnmitnahme). HR-07 hält Position.</w:t>
      </w:r>
    </w:p>
    <w:p>
      <w:pPr>
        <w:pStyle w:val="ListBullet"/>
      </w:pPr>
      <w:r>
        <w:rPr>
          <w:b/>
        </w:rPr>
        <w:t>Zeitraum 20.-27. Januar 2026:</w:t>
      </w:r>
      <w:r>
        <w:t xml:space="preserve"> HR-07 liquidiert Position in Token TN vollständig (EUR 18,7 Mio. Erlös). Kurs fällt danach um 42 %.</w:t>
      </w:r>
    </w:p>
    <w:p/>
    <w:p>
      <w:pPr>
        <w:pStyle w:val="Heading2"/>
      </w:pPr>
      <w:r>
        <w:rPr>
          <w:rFonts w:ascii="Times New Roman" w:hAnsi="Times New Roman"/>
        </w:rPr>
        <w:t>Rechtliche Einordnung</w:t>
      </w:r>
    </w:p>
    <w:p>
      <w:pPr>
        <w:jc w:val="left"/>
      </w:pPr>
      <w:r>
        <w:t>Nach Art. 89 Abs. 2 MiCAR ist Marktmanipulation bei Kryptowerten verboten. Das konkrete Verbotsmerkmal "Meinungsäußerungen oder Beurteilungen, durch die Irreführungen entstehen oder wahrscheinlich entstehen" (Art. 89 Abs. 2 lit. c MiCAR) sowie "Transaktionen oder Aufträge, durch die falsche oder irreführende Signale gegeben werden" (Art. 89 Abs. 2 lit. a MiCAR) könnten erfüllt sein.</w:t>
      </w:r>
    </w:p>
    <w:p>
      <w:pPr>
        <w:jc w:val="left"/>
      </w:pPr>
      <w:r>
        <w:t>Für die haftungsrechtliche Einordnung ist entscheidend, ob:</w:t>
      </w:r>
    </w:p>
    <w:p>
      <w:pPr>
        <w:pStyle w:val="ListNumber"/>
      </w:pPr>
      <w:r>
        <w:t>Das Institut und HR-07 koordiniert handelten (dann: gemeinsames Handeln Art. 12 MAR analog)</w:t>
      </w:r>
    </w:p>
    <w:p>
      <w:pPr>
        <w:pStyle w:val="ListNumber"/>
      </w:pPr>
      <w:r>
        <w:t>Das Institut auf eigene Rechnung handelte und dabei von Kundenaufträgen profitierte (dann: Front-Running-Variante)</w:t>
      </w:r>
    </w:p>
    <w:p>
      <w:pPr>
        <w:pStyle w:val="ListNumber"/>
      </w:pPr>
      <w:r>
        <w:t>Kein koordiniertes Handeln vorlag, aber das Institut seine Stellung als Verwahrer der HR-07-Bestände nutzte (dann: Informationsasymmetrie-Nutzung)</w:t>
      </w:r>
    </w:p>
    <w:p/>
    <w:p>
      <w:pPr>
        <w:pStyle w:val="Heading2"/>
      </w:pPr>
      <w:r>
        <w:rPr>
          <w:rFonts w:ascii="Times New Roman" w:hAnsi="Times New Roman"/>
        </w:rPr>
        <w:t>Interessenkonflikte und MaRisk</w:t>
      </w:r>
    </w:p>
    <w:p>
      <w:pPr>
        <w:jc w:val="left"/>
      </w:pPr>
      <w:r>
        <w:t>Die gleichzeitige Stellung als Eigenhandels-Akteur und Verwahrer/Treuhänder für Kunden in demselben Token schafft strukturelle Interessenkonflikte. Nach MaRisk AT 4.3.2 und Art. 72 MiCAR hätte das Institut diese Konflikte durch geeignete Regelungen (Chinese Walls, Verbote) ausschließen oder offenlegen müssen. Interne Prüfung ergibt: Es existiert ein allgemeines Interessenkonflikt-Policy-Dokument, das jedoch Kryptowerte-Eigenhandel nicht explizit adressiert.</w:t>
      </w:r>
    </w:p>
    <w:p/>
    <w:p>
      <w:pPr>
        <w:pStyle w:val="Heading2"/>
      </w:pPr>
      <w:r>
        <w:rPr>
          <w:rFonts w:ascii="Times New Roman" w:hAnsi="Times New Roman"/>
        </w:rPr>
        <w:t>Strafrechtsrelevanz</w:t>
      </w:r>
    </w:p>
    <w:p>
      <w:pPr>
        <w:jc w:val="left"/>
      </w:pPr>
      <w:r>
        <w:t>Art. 15 MAR analog (über Art. 89 MiCAR) kann bei nachgewiesener Marktmanipulation zu einer Strafanzeige führen. In Deutschland ist Marktmanipulation nach § 119 WpHG strafbar (Freiheitsstrafe bis zu 4 Jahren). Für Kryptowerte gilt seit FinmadiG-Umsetzung ein analoges Regime.</w:t>
      </w:r>
    </w:p>
    <w:p>
      <w:pPr>
        <w:jc w:val="left"/>
      </w:pPr>
      <w:r>
        <w:t>Darüber hinaus besteht wegen des Zusammenhangs mit Kunde HR-07 (unklare Mittelherkunft, FIU-STR) ein erhebliches Geldwäscherisiko (§ 261 StGB), das die Strafverfolgung gegen CCO Dr. Tannenfels antreibt.</w:t>
      </w:r>
    </w:p>
    <w:p/>
    <w:p>
      <w:pPr>
        <w:pStyle w:val="Heading2"/>
      </w:pPr>
      <w:r>
        <w:rPr>
          <w:rFonts w:ascii="Times New Roman" w:hAnsi="Times New Roman"/>
        </w:rPr>
        <w:t>Status und Nächste Schritte</w:t>
      </w:r>
    </w:p>
    <w:p>
      <w:pPr>
        <w:jc w:val="left"/>
      </w:pPr>
      <w:r>
        <w:t>BaFin-Referat WA 23 hat mitgeteilt, dass eine formelle Marktmissbrauchs-Untersuchung nach Art. 89 MiCAR noch nicht eingeleitet wurde. Der Befund befindet sich in der Voruntersuchungsphase. Die Kanzlei bereitet eine Einlassung vor, die das Fehlen einer Koordinationsabrede und die eigenständige, ökonomisch rationale Handelslogik des Instituts darstellt.</w:t>
      </w:r>
    </w:p>
    <w:p>
      <w:pPr>
        <w:jc w:val="left"/>
      </w:pPr>
      <w:r>
        <w:rPr>
          <w:b/>
        </w:rPr>
        <w:t>Vgl.:</w:t>
      </w:r>
      <w:r>
        <w:t xml:space="preserve"> 10-suspicious-transaction-reports-fiu.md; 18-strategie-vergleichsangebot-bafin.md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BaFin-Prüfer: Rolf Sandkamp</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BaFin-Prüfer: Rolf Sandkamp</w:t>
    </w:r>
  </w:p>
  <w:p>
    <w:pPr>
      <w:jc w:val="left"/>
      <w:pBdr>
        <w:bottom w:val="single" w:sz="6" w:space="2" w:color="3B3F45"/>
      </w:pBdr>
    </w:pPr>
    <w:r>
      <w:rPr>
        <w:rFonts w:ascii="Times New Roman" w:hAnsi="Times New Roman"/>
        <w:color w:val="6B6B66"/>
        <w:sz w:val="16"/>
      </w:rPr>
      <w:t>BaFin Referat WA 23 (Marktüberwachung)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