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Stellungnahme des Vorstands zur BaFin-Anhörung</w:t>
      </w:r>
    </w:p>
    <w:p>
      <w:pPr>
        <w:jc w:val="left"/>
      </w:pPr>
      <w:r>
        <w:rPr>
          <w:b/>
        </w:rPr>
        <w:t>Adressat:</w:t>
      </w:r>
      <w:r>
        <w:t xml:space="preserve"> BaFin, Referat VBS 4, z.Hd. Dr. Hannelore Kösters</w:t>
      </w:r>
    </w:p>
    <w:p>
      <w:pPr>
        <w:jc w:val="left"/>
      </w:pPr>
      <w:r>
        <w:rPr>
          <w:b/>
        </w:rPr>
        <w:t>Absender:</w:t>
      </w:r>
      <w:r>
        <w:t xml:space="preserve"> Thalvenia Bank AG, vertr. d. d. Vorstand (CEO, COO, CRO)</w:t>
      </w:r>
    </w:p>
    <w:p>
      <w:pPr>
        <w:jc w:val="left"/>
      </w:pPr>
      <w:r>
        <w:rPr>
          <w:b/>
        </w:rPr>
        <w:t>Verfasser:</w:t>
      </w:r>
      <w:r>
        <w:t xml:space="preserve"> Schwertbeck Roosendaal mbB im Auftrag der Thalvenia Bank AG</w:t>
      </w:r>
    </w:p>
    <w:p>
      <w:pPr>
        <w:jc w:val="left"/>
      </w:pPr>
      <w:r>
        <w:rPr>
          <w:b/>
        </w:rPr>
        <w:t>Datum:</w:t>
      </w:r>
      <w:r>
        <w:t xml:space="preserve"> 28. Juli 2026</w:t>
      </w:r>
    </w:p>
    <w:p>
      <w:pPr>
        <w:jc w:val="left"/>
      </w:pPr>
      <w:r>
        <w:rPr>
          <w:b/>
        </w:rPr>
        <w:t>Bezug:</w:t>
      </w:r>
      <w:r>
        <w:t xml:space="preserve"> Az. BaFin VBS 4 1 7-K-22-188/2026; Anhörungsschreiben vom 14. Juli 2026</w:t>
      </w:r>
    </w:p>
    <w:p/>
    <w:p>
      <w:pPr>
        <w:pStyle w:val="Heading2"/>
      </w:pPr>
      <w:r>
        <w:rPr>
          <w:rFonts w:ascii="Times New Roman" w:hAnsi="Times New Roman"/>
        </w:rPr>
        <w:t>I. Vorbemerkung</w:t>
      </w:r>
    </w:p>
    <w:p>
      <w:pPr>
        <w:jc w:val="left"/>
      </w:pPr>
      <w:r>
        <w:t>Die Thalvenia Bank AG begrüßt die Möglichkeit zur Stellungnahme und hat das Anhörungsschreiben mit größter Sorgfalt ausgewertet. Der Vorstand nimmt die festgestellten Mängel ernst und hat seit Einleitung der Sonderprüfung im März 2026 umfangreiche Remediation-Maßnahmen ergriffen. Ziel dieser Stellungnahme ist es, zum einen tatsächliche Unrichtigkeiten in den vorläufigen Feststellungen zu korrigieren und zum anderen den Stand der Remediation zu dokumentieren.</w:t>
      </w:r>
    </w:p>
    <w:p/>
    <w:p>
      <w:pPr>
        <w:pStyle w:val="Heading2"/>
      </w:pPr>
      <w:r>
        <w:rPr>
          <w:rFonts w:ascii="Times New Roman" w:hAnsi="Times New Roman"/>
        </w:rPr>
        <w:t>II. Zum Cybervorfall Januar 2026 (BAIT Tz. 55)</w:t>
      </w:r>
    </w:p>
    <w:p>
      <w:pPr>
        <w:jc w:val="left"/>
      </w:pPr>
      <w:r>
        <w:rPr>
          <w:b/>
        </w:rPr>
        <w:t>Vortrag der Thalvenia Bank AG:</w:t>
      </w:r>
    </w:p>
    <w:p>
      <w:pPr>
        <w:jc w:val="left"/>
      </w:pPr>
      <w:r>
        <w:t>Das Institut erkennt an, dass die BaFin-Meldung vom 13. Januar 2026 die Frist des BAIT Tz. 55 nicht einhielt. Es handelte sich jedoch nicht um bewusste Fristversäumnis, sondern um eine Fehlklassifizierung:</w:t>
      </w:r>
    </w:p>
    <w:p>
      <w:pPr>
        <w:pStyle w:val="ListNumber"/>
      </w:pPr>
      <w:r>
        <w:rPr>
          <w:b/>
        </w:rPr>
        <w:t>Initialer SOC-Alarm (02:17 Uhr, 9. Januar):</w:t>
      </w:r>
      <w:r>
        <w:t xml:space="preserve"> Der Schicht-SOC-Mitarbeiter bewertete den SIEM-Alarm aufgrund einer Ähnlichkeit mit einem bekannten Fehlalarm-Muster als False Positive. Diese Entscheidung war menschlich nachvollziehbar, wenn auch im Ergebnis fehlerhaft.</w:t>
      </w:r>
    </w:p>
    <w:p>
      <w:pPr>
        <w:pStyle w:val="ListNumber"/>
      </w:pPr>
      <w:r>
        <w:rPr>
          <w:b/>
        </w:rPr>
        <w:t>Eskalation (08:30 Uhr, 9. Januar):</w:t>
      </w:r>
      <w:r>
        <w:t xml:space="preserve"> Erst mit Entdeckung der verschlüsselten Server und CISO-Benachrichtigung war eine zuverlässige Klassifizierung als wesentlicher IT-Sicherheitsvorfall möglich.</w:t>
      </w:r>
    </w:p>
    <w:p>
      <w:pPr>
        <w:pStyle w:val="ListNumber"/>
      </w:pPr>
      <w:r>
        <w:rPr>
          <w:b/>
        </w:rPr>
        <w:t>Abwägung:</w:t>
      </w:r>
      <w:r>
        <w:t xml:space="preserve"> Der CISO und COO entschieden, vor der BaFin-Meldung zunächst minimale Fakten zu sichern, um eine präzise Erstmeldung zu ermöglichen. Dies entsprach zwar der internen SOC-Handlungsanweisung, nicht aber den BAIT-Anforderungen.</w:t>
      </w:r>
    </w:p>
    <w:p>
      <w:pPr>
        <w:jc w:val="left"/>
      </w:pPr>
      <w:r>
        <w:t>Das Institut hat sämtliche SOC-Prozesse überarbeitet; eine neue interne Anweisung verpflichtet zur sofortigen BaFin-Meldung ab Inkrafttreten der IT-Notfall-Stufe 2, unabhängig vom Informationsstand.</w:t>
      </w:r>
    </w:p>
    <w:p>
      <w:pPr>
        <w:jc w:val="left"/>
      </w:pPr>
      <w:r>
        <w:rPr>
          <w:b/>
        </w:rPr>
        <w:t>Bitte:</w:t>
      </w:r>
      <w:r>
        <w:t xml:space="preserve"> Klassifizierung als fahrlässige, nicht vorsätzliche Pflichtverletzung; Berücksichtigung als erstmalige Verfehlung.</w:t>
      </w:r>
    </w:p>
    <w:p/>
    <w:p>
      <w:pPr>
        <w:pStyle w:val="Heading2"/>
      </w:pPr>
      <w:r>
        <w:rPr>
          <w:rFonts w:ascii="Times New Roman" w:hAnsi="Times New Roman"/>
        </w:rPr>
        <w:t>III. Zu den AML-/KYC-Mängeln</w:t>
      </w:r>
    </w:p>
    <w:p>
      <w:pPr>
        <w:jc w:val="left"/>
      </w:pPr>
      <w:r>
        <w:rPr>
          <w:b/>
        </w:rPr>
        <w:t>Vortrag der Thalvenia Bank AG:</w:t>
      </w:r>
    </w:p>
    <w:p>
      <w:pPr>
        <w:jc w:val="left"/>
      </w:pPr>
      <w:r>
        <w:t>Die festgestellten KYC-Lücken werden grundsätzlich eingeräumt. Folgende Entlastungsgesichtspunkte werden vorgetragen:</w:t>
      </w:r>
    </w:p>
    <w:p>
      <w:pPr>
        <w:pStyle w:val="ListBullet"/>
      </w:pPr>
      <w:r>
        <w:rPr>
          <w:b/>
        </w:rPr>
        <w:t>Kunde HR-03 (WiB fehlt):</w:t>
      </w:r>
      <w:r>
        <w:t xml:space="preserve"> Das Institut leitete bereits im August 2025 — vor der Sonderprüfung — eine Nacherfüllungsmaßnahme ein, nachdem ein interner AML-Audit die Lücke identifiziert hatte. Die vollständige WiB-Dokumentation lag zum Zeitpunkt der BaFin-Prüfung im April 2026 vor.</w:t>
      </w:r>
    </w:p>
    <w:p>
      <w:pPr>
        <w:pStyle w:val="ListBullet"/>
      </w:pPr>
      <w:r>
        <w:rPr>
          <w:b/>
        </w:rPr>
        <w:t>Kunde HR-07 (Mittelherkunft):</w:t>
      </w:r>
      <w:r>
        <w:t xml:space="preserve"> Die dem Institut vorgelegte Mittelherkunftsdokumentation (Stiftungsratserklärung) entsprach dem Marktstandard für Liechtensteiner Stiftungen im Jahr 2020 (Onboarding-Datum). Die verschärften Anforderungen nach § 15 Abs. 4 GwG sind erst durch die GwG-Novelle 2021 konkretisiert worden.</w:t>
      </w:r>
    </w:p>
    <w:p>
      <w:pPr>
        <w:pStyle w:val="ListBullet"/>
      </w:pPr>
      <w:r>
        <w:rPr>
          <w:b/>
        </w:rPr>
        <w:t>PEP-Mängel (HR-11, HR-23, HR-31):</w:t>
      </w:r>
      <w:r>
        <w:t xml:space="preserve"> Das Institut war auf die Tier-1-Abdeckung von SymphonyAI angewiesen, die zu den branchenüblichen Standardprodukten zählt. Die BaFin-Auslegungshinweise 2021 verpflichten zu einer risikoadäquaten Datenbankauswahl, die — wie eingeräumt — nicht vollständig umgesetzt wurde. Das Institut hat den Vertrag auf Tier-2-Abdeckung aufgestockt und retrograde PEP-Prüfungen abgeschlossen.</w:t>
      </w:r>
    </w:p>
    <w:p/>
    <w:p>
      <w:pPr>
        <w:pStyle w:val="Heading2"/>
      </w:pPr>
      <w:r>
        <w:rPr>
          <w:rFonts w:ascii="Times New Roman" w:hAnsi="Times New Roman"/>
        </w:rPr>
        <w:t>IV. Zu den unterlassenen STR-Meldungen (§ 43 GwG)</w:t>
      </w:r>
    </w:p>
    <w:p>
      <w:pPr>
        <w:jc w:val="left"/>
      </w:pPr>
      <w:r>
        <w:rPr>
          <w:b/>
        </w:rPr>
        <w:t>Vortrag der Thalvenia Bank AG:</w:t>
      </w:r>
    </w:p>
    <w:p>
      <w:pPr>
        <w:jc w:val="left"/>
      </w:pPr>
      <w:r>
        <w:t>Die fünf im Anhörungsschreiben benannten Transaktionen wurden intern geprüft und die Entscheidung gegen eine Meldung dokumentiert. Die Dokumentation belegt, dass die zuständigen AML-Analysten eine rationale Abwägung vornahmen und zum Ergebnis kamen, dass die Schwelle des § 43 Abs. 1 GwG ("Tatsachen, die darauf hindeuten, dass...") nicht überschritten war. Diese Einschätzung mag im Nachhinein unzutreffend sein; sie war aber zum Entscheidungszeitpunkt vertretbar.</w:t>
      </w:r>
    </w:p>
    <w:p/>
    <w:p>
      <w:pPr>
        <w:pStyle w:val="Heading2"/>
      </w:pPr>
      <w:r>
        <w:rPr>
          <w:rFonts w:ascii="Times New Roman" w:hAnsi="Times New Roman"/>
        </w:rPr>
        <w:t>V. Remediation-Stand (Meilensteine)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Maßnahme</w:t>
            </w:r>
          </w:p>
        </w:tc>
        <w:tc>
          <w:tcPr>
            <w:tcW w:type="dxa" w:w="4536"/>
          </w:tcPr>
          <w:p>
            <w:r>
              <w:rPr>
                <w:rFonts w:ascii="Times New Roman" w:hAnsi="Times New Roman"/>
                <w:b/>
                <w:sz w:val="20"/>
              </w:rPr>
              <w:t>Status per 28. Juli 2026</w:t>
            </w:r>
          </w:p>
        </w:tc>
      </w:tr>
      <w:tr>
        <w:tc>
          <w:tcPr>
            <w:tcW w:type="dxa" w:w="4536"/>
          </w:tcPr>
          <w:p>
            <w:r>
              <w:rPr>
                <w:rFonts w:ascii="Times New Roman" w:hAnsi="Times New Roman"/>
                <w:sz w:val="20"/>
              </w:rPr>
              <w:t>Risikoanalyse § 5 GwG aktualisiert</w:t>
            </w:r>
          </w:p>
        </w:tc>
        <w:tc>
          <w:tcPr>
            <w:tcW w:type="dxa" w:w="4536"/>
          </w:tcPr>
          <w:p>
            <w:r>
              <w:rPr>
                <w:rFonts w:ascii="Times New Roman" w:hAnsi="Times New Roman"/>
                <w:sz w:val="20"/>
              </w:rPr>
              <w:t>Abgeschlossen 30. Juni 2026</w:t>
            </w:r>
          </w:p>
        </w:tc>
      </w:tr>
      <w:tr>
        <w:tc>
          <w:tcPr>
            <w:tcW w:type="dxa" w:w="4536"/>
          </w:tcPr>
          <w:p>
            <w:r>
              <w:rPr>
                <w:rFonts w:ascii="Times New Roman" w:hAnsi="Times New Roman"/>
                <w:sz w:val="20"/>
              </w:rPr>
              <w:t>KYC-Nacherfüllung Hochrisikokunden</w:t>
            </w:r>
          </w:p>
        </w:tc>
        <w:tc>
          <w:tcPr>
            <w:tcW w:type="dxa" w:w="4536"/>
          </w:tcPr>
          <w:p>
            <w:r>
              <w:rPr>
                <w:rFonts w:ascii="Times New Roman" w:hAnsi="Times New Roman"/>
                <w:sz w:val="20"/>
              </w:rPr>
              <w:t>Abgeschlossen für HR-03, HR-07, HR-09; HR-19 in Bearbeitung</w:t>
            </w:r>
          </w:p>
        </w:tc>
      </w:tr>
      <w:tr>
        <w:tc>
          <w:tcPr>
            <w:tcW w:type="dxa" w:w="4536"/>
          </w:tcPr>
          <w:p>
            <w:r>
              <w:rPr>
                <w:rFonts w:ascii="Times New Roman" w:hAnsi="Times New Roman"/>
                <w:sz w:val="20"/>
              </w:rPr>
              <w:t>PEP-Datenbank-Upgrade</w:t>
            </w:r>
          </w:p>
        </w:tc>
        <w:tc>
          <w:tcPr>
            <w:tcW w:type="dxa" w:w="4536"/>
          </w:tcPr>
          <w:p>
            <w:r>
              <w:rPr>
                <w:rFonts w:ascii="Times New Roman" w:hAnsi="Times New Roman"/>
                <w:sz w:val="20"/>
              </w:rPr>
              <w:t>Abgeschlossen April 2026</w:t>
            </w:r>
          </w:p>
        </w:tc>
      </w:tr>
      <w:tr>
        <w:tc>
          <w:tcPr>
            <w:tcW w:type="dxa" w:w="4536"/>
          </w:tcPr>
          <w:p>
            <w:r>
              <w:rPr>
                <w:rFonts w:ascii="Times New Roman" w:hAnsi="Times New Roman"/>
                <w:sz w:val="20"/>
              </w:rPr>
              <w:t>PEP-Retrograde Überprüfung</w:t>
            </w:r>
          </w:p>
        </w:tc>
        <w:tc>
          <w:tcPr>
            <w:tcW w:type="dxa" w:w="4536"/>
          </w:tcPr>
          <w:p>
            <w:r>
              <w:rPr>
                <w:rFonts w:ascii="Times New Roman" w:hAnsi="Times New Roman"/>
                <w:sz w:val="20"/>
              </w:rPr>
              <w:t>Abgeschlossen Mai 2026</w:t>
            </w:r>
          </w:p>
        </w:tc>
      </w:tr>
      <w:tr>
        <w:tc>
          <w:tcPr>
            <w:tcW w:type="dxa" w:w="4536"/>
          </w:tcPr>
          <w:p>
            <w:r>
              <w:rPr>
                <w:rFonts w:ascii="Times New Roman" w:hAnsi="Times New Roman"/>
                <w:sz w:val="20"/>
              </w:rPr>
              <w:t>SOC-Eskalationsprozess überarbeitet</w:t>
            </w:r>
          </w:p>
        </w:tc>
        <w:tc>
          <w:tcPr>
            <w:tcW w:type="dxa" w:w="4536"/>
          </w:tcPr>
          <w:p>
            <w:r>
              <w:rPr>
                <w:rFonts w:ascii="Times New Roman" w:hAnsi="Times New Roman"/>
                <w:sz w:val="20"/>
              </w:rPr>
              <w:t>Abgeschlossen Februar 2026</w:t>
            </w:r>
          </w:p>
        </w:tc>
      </w:tr>
      <w:tr>
        <w:tc>
          <w:tcPr>
            <w:tcW w:type="dxa" w:w="4536"/>
          </w:tcPr>
          <w:p>
            <w:r>
              <w:rPr>
                <w:rFonts w:ascii="Times New Roman" w:hAnsi="Times New Roman"/>
                <w:sz w:val="20"/>
              </w:rPr>
              <w:t>BAIT-Notfallkonzept überarbeitet</w:t>
            </w:r>
          </w:p>
        </w:tc>
        <w:tc>
          <w:tcPr>
            <w:tcW w:type="dxa" w:w="4536"/>
          </w:tcPr>
          <w:p>
            <w:r>
              <w:rPr>
                <w:rFonts w:ascii="Times New Roman" w:hAnsi="Times New Roman"/>
                <w:sz w:val="20"/>
              </w:rPr>
              <w:t>Abgeschlossen Juli 2026</w:t>
            </w:r>
          </w:p>
        </w:tc>
      </w:tr>
      <w:tr>
        <w:tc>
          <w:tcPr>
            <w:tcW w:type="dxa" w:w="4536"/>
          </w:tcPr>
          <w:p>
            <w:r>
              <w:rPr>
                <w:rFonts w:ascii="Times New Roman" w:hAnsi="Times New Roman"/>
                <w:sz w:val="20"/>
              </w:rPr>
              <w:t>IT-Prüfbericht 2024</w:t>
            </w:r>
          </w:p>
        </w:tc>
        <w:tc>
          <w:tcPr>
            <w:tcW w:type="dxa" w:w="4536"/>
          </w:tcPr>
          <w:p>
            <w:r>
              <w:rPr>
                <w:rFonts w:ascii="Times New Roman" w:hAnsi="Times New Roman"/>
                <w:sz w:val="20"/>
              </w:rPr>
              <w:t>Beauftragung April 2026; Bericht erwartet September 2026</w:t>
            </w:r>
          </w:p>
        </w:tc>
      </w:tr>
      <w:tr>
        <w:tc>
          <w:tcPr>
            <w:tcW w:type="dxa" w:w="4536"/>
          </w:tcPr>
          <w:p>
            <w:r>
              <w:rPr>
                <w:rFonts w:ascii="Times New Roman" w:hAnsi="Times New Roman"/>
                <w:sz w:val="20"/>
              </w:rPr>
              <w:t>AML-Schulung 100 %</w:t>
            </w:r>
          </w:p>
        </w:tc>
        <w:tc>
          <w:tcPr>
            <w:tcW w:type="dxa" w:w="4536"/>
          </w:tcPr>
          <w:p>
            <w:r>
              <w:rPr>
                <w:rFonts w:ascii="Times New Roman" w:hAnsi="Times New Roman"/>
                <w:sz w:val="20"/>
              </w:rPr>
              <w:t>Abgeschlossen Juni 2026</w:t>
            </w:r>
          </w:p>
        </w:tc>
      </w:tr>
    </w:tbl>
    <w:p/>
    <w:p>
      <w:pPr>
        <w:pStyle w:val="Heading2"/>
      </w:pPr>
      <w:r>
        <w:rPr>
          <w:rFonts w:ascii="Times New Roman" w:hAnsi="Times New Roman"/>
        </w:rPr>
        <w:t>VI. Bitte</w:t>
      </w:r>
    </w:p>
    <w:p>
      <w:pPr>
        <w:jc w:val="left"/>
      </w:pPr>
      <w:r>
        <w:t>Der Vorstand der Thalvenia Bank AG bittet die BaFin:</w:t>
      </w:r>
    </w:p>
    <w:p>
      <w:pPr>
        <w:pStyle w:val="ListNumber"/>
      </w:pPr>
      <w:r>
        <w:t>Die Anordnung nach § 25a KWG auf die noch ausstehenden Maßnahmen zu beschränken.</w:t>
      </w:r>
    </w:p>
    <w:p>
      <w:pPr>
        <w:pStyle w:val="ListNumber"/>
      </w:pPr>
      <w:r>
        <w:t>Beim Bußgeldverfahren die umfangreiche Remediation strafmildernd zu berücksichtigen.</w:t>
      </w:r>
    </w:p>
    <w:p>
      <w:pPr>
        <w:pStyle w:val="ListNumber"/>
      </w:pPr>
      <w:r>
        <w:t>Die MiCAR-Entscheidung nicht mit dem Bußgeldverfahren zu verknüpfen, sondern auf Basis des abgeschlossenen Remediationsplans zu treffen.</w:t>
      </w:r>
    </w:p>
    <w:p>
      <w:pPr>
        <w:jc w:val="left"/>
      </w:pPr>
      <w:r>
        <w:rPr>
          <w:b/>
        </w:rPr>
        <w:t>Bearbeiterin:</w:t>
      </w:r>
      <w:r>
        <w:t xml:space="preserve"> Prof. Dr. Heinrich Schwertbeck / Dr. Petra Glock-Meinhard</w:t>
      </w:r>
    </w:p>
    <w:p>
      <w:pPr>
        <w:jc w:val="left"/>
      </w:pPr>
      <w:r>
        <w:rPr>
          <w:b/>
        </w:rPr>
        <w:t>Vgl.:</w:t>
      </w:r>
      <w:r>
        <w:t xml:space="preserve"> docx/stellungnahme-vorstand-thalvenia-bafin-pruefung.docx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Adressat: BaFin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Adressat: BaFin</w:t>
    </w:r>
  </w:p>
  <w:p>
    <w:pPr>
      <w:jc w:val="left"/>
      <w:pBdr>
        <w:bottom w:val="single" w:sz="6" w:space="2" w:color="3B3F45"/>
      </w:pBdr>
    </w:pPr>
    <w:r>
      <w:rPr>
        <w:rFonts w:ascii="Times New Roman" w:hAnsi="Times New Roman"/>
        <w:color w:val="6B6B66"/>
        <w:sz w:val="16"/>
      </w:rPr>
      <w:t>Referat VBS 4, z.Hd. Dr. Hannelore Kösters · Az. BaFin VBS 4 1 7-K-22-188/2026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