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Zuständigkeitsabgrenzung BaFin / FIU / BNetzA</w:t>
      </w:r>
    </w:p>
    <w:p>
      <w:pPr>
        <w:jc w:val="left"/>
      </w:pPr>
      <w:r>
        <w:rPr>
          <w:b/>
        </w:rPr>
        <w:t>Dokument:</w:t>
      </w:r>
      <w:r>
        <w:t xml:space="preserve"> Interne Kanzleinotiz zur Behördenkoordination</w:t>
      </w:r>
    </w:p>
    <w:p>
      <w:pPr>
        <w:jc w:val="left"/>
      </w:pPr>
      <w:r>
        <w:rPr>
          <w:b/>
        </w:rPr>
        <w:t>Datum:</w:t>
      </w:r>
      <w:r>
        <w:t xml:space="preserve"> 5. April 2026</w:t>
      </w:r>
    </w:p>
    <w:p>
      <w:pPr>
        <w:jc w:val="left"/>
      </w:pPr>
      <w:r>
        <w:rPr>
          <w:b/>
        </w:rPr>
        <w:t>Bearbeiterin:</w:t>
      </w:r>
      <w:r>
        <w:t xml:space="preserve"> Dr. Petra Glock-Meinhard</w:t>
      </w:r>
    </w:p>
    <w:p/>
    <w:p>
      <w:pPr>
        <w:pStyle w:val="Heading2"/>
      </w:pPr>
      <w:r>
        <w:rPr>
          <w:rFonts w:ascii="Times New Roman" w:hAnsi="Times New Roman"/>
        </w:rPr>
        <w:t>Ausgangslage: Drei parallele Behördenverfahren</w:t>
      </w:r>
    </w:p>
    <w:p>
      <w:pPr>
        <w:jc w:val="left"/>
      </w:pPr>
      <w:r>
        <w:t>Die Thalvenia Bank AG ist gleichzeitig Gegenstand von Verfahren bei drei verschiedenen Behörden:</w:t>
      </w:r>
    </w:p>
    <w:p>
      <w:pPr>
        <w:pStyle w:val="ListNumber"/>
      </w:pPr>
      <w:r>
        <w:rPr>
          <w:b/>
        </w:rPr>
        <w:t>BaFin</w:t>
      </w:r>
      <w:r>
        <w:t xml:space="preserve"> (Bonn/Frankfurt): Sonderprüfung VBS 4 1 7-K-22-188/2026 (Bankaufsicht, AML-Aufsicht, Marktintegrität)</w:t>
      </w:r>
    </w:p>
    <w:p>
      <w:pPr>
        <w:pStyle w:val="ListNumber"/>
      </w:pPr>
      <w:r>
        <w:rPr>
          <w:b/>
        </w:rPr>
        <w:t>FIU</w:t>
      </w:r>
      <w:r>
        <w:t xml:space="preserve"> (Köln): Auskunftsersuchen 2026-FIU-7711-TN (Geldwäscheanalyse)</w:t>
      </w:r>
    </w:p>
    <w:p>
      <w:pPr>
        <w:pStyle w:val="ListNumber"/>
      </w:pPr>
      <w:r>
        <w:rPr>
          <w:b/>
        </w:rPr>
        <w:t>BNetzA</w:t>
      </w:r>
      <w:r>
        <w:t xml:space="preserve"> (Bonn): Schreiben vom 3. April 2026 zur Cybersicherheitsmeldepflicht nach BSIG</w:t>
      </w:r>
    </w:p>
    <w:p>
      <w:pPr>
        <w:jc w:val="left"/>
      </w:pPr>
      <w:r>
        <w:t xml:space="preserve">Dazu kommt die </w:t>
      </w:r>
      <w:r>
        <w:rPr>
          <w:b/>
        </w:rPr>
        <w:t>Staatsanwaltschaft Stuttgart</w:t>
      </w:r>
      <w:r>
        <w:t xml:space="preserve"> (Strafverfahren gegen CCO), die jedoch formal eine andere Rechtsmaterie betrifft.</w:t>
      </w:r>
    </w:p>
    <w:p/>
    <w:p>
      <w:pPr>
        <w:pStyle w:val="Heading2"/>
      </w:pPr>
      <w:r>
        <w:rPr>
          <w:rFonts w:ascii="Times New Roman" w:hAnsi="Times New Roman"/>
        </w:rPr>
        <w:t>Zuständigkeit BaFin</w:t>
      </w:r>
    </w:p>
    <w:p>
      <w:pPr>
        <w:jc w:val="left"/>
      </w:pPr>
      <w:r>
        <w:t>Die BaFin ist als Allfinanzaufsicht nach KWG, GwG, WpHG/MiCAR und BAIT für die prudenzielle und verhaltensbezogene Aufsicht über das Institut zuständig. Ihre Befugnisse umfassen:</w:t>
      </w:r>
    </w:p>
    <w:p>
      <w:pPr>
        <w:pStyle w:val="ListBullet"/>
      </w:pPr>
      <w:r>
        <w:t>Sonderprüfungen nach § 44 KWG</w:t>
      </w:r>
    </w:p>
    <w:p>
      <w:pPr>
        <w:pStyle w:val="ListBullet"/>
      </w:pPr>
      <w:r>
        <w:t>Anordnungen nach § 25a KWG</w:t>
      </w:r>
    </w:p>
    <w:p>
      <w:pPr>
        <w:pStyle w:val="ListBullet"/>
      </w:pPr>
      <w:r>
        <w:t>Bußgeldverfahren nach § 56 GwG, § 60b GwG</w:t>
      </w:r>
    </w:p>
    <w:p>
      <w:pPr>
        <w:pStyle w:val="ListBullet"/>
      </w:pPr>
      <w:r>
        <w:t>Untersagung nach § 6 Abs. 3 KWG</w:t>
      </w:r>
    </w:p>
    <w:p>
      <w:pPr>
        <w:pStyle w:val="ListBullet"/>
      </w:pPr>
      <w:r>
        <w:t>Widerruf der Zulassung nach § 35 KWG</w:t>
      </w:r>
    </w:p>
    <w:p>
      <w:pPr>
        <w:pStyle w:val="ListBullet"/>
      </w:pPr>
      <w:r>
        <w:t>CASP-Zulassung / -Versagung nach Art. 63 MiCAR</w:t>
      </w:r>
    </w:p>
    <w:p>
      <w:pPr>
        <w:jc w:val="left"/>
      </w:pPr>
      <w:r>
        <w:t>Die BaFin koordiniert mit der FIU gemäß § 29 Abs. 1 GwG (gegenseitige Informationspflicht BaFin-FIU) und mit der Staatsanwaltschaft gemäß § 4 Abs. 5 GwG (Übermittlungspflicht bei Geldwäscheverdacht).</w:t>
      </w:r>
    </w:p>
    <w:p/>
    <w:p>
      <w:pPr>
        <w:pStyle w:val="Heading2"/>
      </w:pPr>
      <w:r>
        <w:rPr>
          <w:rFonts w:ascii="Times New Roman" w:hAnsi="Times New Roman"/>
        </w:rPr>
        <w:t>Zuständigkeit FIU</w:t>
      </w:r>
    </w:p>
    <w:p>
      <w:pPr>
        <w:jc w:val="left"/>
      </w:pPr>
      <w:r>
        <w:t>Die FIU (§ 27 GwG) ist als Zentralstelle für Finanztransaktionsuntersuchungen organisatorisch beim Zoll (Bundeszollamt) angesiedelt. Ihre Befugnisse beschränken sich auf:</w:t>
      </w:r>
    </w:p>
    <w:p>
      <w:pPr>
        <w:pStyle w:val="ListBullet"/>
      </w:pPr>
      <w:r>
        <w:t>Entgegennahme von Verdachtsmeldungen nach § 43 GwG</w:t>
      </w:r>
    </w:p>
    <w:p>
      <w:pPr>
        <w:pStyle w:val="ListBullet"/>
      </w:pPr>
      <w:r>
        <w:t>Analyse und ggf. Weiterleitung an Strafverfolgungsbehörden (§ 32 GwG)</w:t>
      </w:r>
    </w:p>
    <w:p>
      <w:pPr>
        <w:pStyle w:val="ListBullet"/>
      </w:pPr>
      <w:r>
        <w:t>Auskunftsersuchen an Institute (§ 30 GwG)</w:t>
      </w:r>
    </w:p>
    <w:p>
      <w:pPr>
        <w:pStyle w:val="ListBullet"/>
      </w:pPr>
      <w:r>
        <w:t>Einfrierungsanordnungen in Ausnahmefällen</w:t>
      </w:r>
    </w:p>
    <w:p>
      <w:pPr>
        <w:jc w:val="left"/>
      </w:pPr>
      <w:r>
        <w:t xml:space="preserve">Die FIU hat </w:t>
      </w:r>
      <w:r>
        <w:rPr>
          <w:b/>
        </w:rPr>
        <w:t>keine</w:t>
      </w:r>
      <w:r>
        <w:t xml:space="preserve"> direkte Sanktionsbefugnis gegenüber dem Institut. Sie kann jedoch Informationen an die BaFin übermitteln, die dann sanktioniert. Das Auskunftsersuchen der FIU vom 22. Februar 2026 ist daher primär ein Informationsgathering, das in den BaFin-Bußgeldrahmen einfließen kann.</w:t>
      </w:r>
    </w:p>
    <w:p>
      <w:pPr>
        <w:jc w:val="left"/>
      </w:pPr>
      <w:r>
        <w:rPr>
          <w:b/>
        </w:rPr>
        <w:t>Tipping-off-Verbot (§ 44 GwG):</w:t>
      </w:r>
      <w:r>
        <w:t xml:space="preserve"> Das Institut darf die betroffenen Kunden (HR-07, HR-11) nicht über das FIU-Auskunftsersuchen informieren. Dies gilt auch für die Anwälte der betroffenen Kunden, sofern sie nicht Verteidiger im FIU-Verfahren sind.</w:t>
      </w:r>
    </w:p>
    <w:p/>
    <w:p>
      <w:pPr>
        <w:pStyle w:val="Heading2"/>
      </w:pPr>
      <w:r>
        <w:rPr>
          <w:rFonts w:ascii="Times New Roman" w:hAnsi="Times New Roman"/>
        </w:rPr>
        <w:t>Zuständigkeit BNetzA</w:t>
      </w:r>
    </w:p>
    <w:p>
      <w:pPr>
        <w:jc w:val="left"/>
      </w:pPr>
      <w:r>
        <w:t>Die Bundesnetzagentur ist nach § 8a BSIG (Gesetz über das Bundesamt für Sicherheit in der Informationstechnik) für kritische Infrastrukturen zuständig. Das Schreiben vom 3. April 2026 fragt an, ob die Thalvenia Bank AG als Betreiber kritischer Infrastrukturen im Sektor Finanzen einzustufen ist.</w:t>
      </w:r>
    </w:p>
    <w:p>
      <w:pPr>
        <w:jc w:val="left"/>
      </w:pPr>
      <w:r>
        <w:rPr>
          <w:b/>
        </w:rPr>
        <w:t>Rechtslage:</w:t>
      </w:r>
    </w:p>
    <w:p>
      <w:pPr>
        <w:pStyle w:val="ListBullet"/>
      </w:pPr>
      <w:r>
        <w:t>Kreditinstitute mit Bilanzsumme über EUR 30 Mrd. sind KRITIS-Betreiber (§ 2 Abs. 10 BSIG i.V.m. BSI-KritisV).</w:t>
      </w:r>
    </w:p>
    <w:p>
      <w:pPr>
        <w:pStyle w:val="ListBullet"/>
      </w:pPr>
      <w:r>
        <w:t>Thalvenia (Bilanzsumme ca. EUR 700 Mio.) liegt erheblich unter diesem Schwellenwert.</w:t>
      </w:r>
    </w:p>
    <w:p>
      <w:pPr>
        <w:pStyle w:val="ListBullet"/>
      </w:pPr>
      <w:r>
        <w:rPr>
          <w:b/>
        </w:rPr>
        <w:t>Ergebnis:</w:t>
      </w:r>
      <w:r>
        <w:t xml:space="preserve"> Thalvenia ist kein KRITIS-Betreiber; eine BSIG-Meldepflicht nach § 8b BSIG besteht nicht.</w:t>
      </w:r>
    </w:p>
    <w:p>
      <w:pPr>
        <w:jc w:val="left"/>
      </w:pPr>
      <w:r>
        <w:t>Dennoch besteht nach dem NIS2-Umsetzungsgesetz (in Kraft seit Oktober 2024) eine Meldepflicht für "wichtige Einrichtungen" im Finanzsektor bei erheblichen Sicherheitsvorfällen an das BSI. Diese Pflicht ist von der BAIT-Meldepflicht gegenüber der BaFin zu unterscheiden.</w:t>
      </w:r>
    </w:p>
    <w:p>
      <w:pPr>
        <w:jc w:val="left"/>
      </w:pPr>
      <w:r>
        <w:rPr>
          <w:b/>
        </w:rPr>
        <w:t>Empfehlung:</w:t>
      </w:r>
      <w:r>
        <w:t xml:space="preserve"> BNetzA-Anfrage beantworten mit Verweis auf fehlende KRITIS-Eigenschaft; gleichzeitig prüfen, ob NIS2-Meldepflicht (BSI) neben der BAIT-Meldepflicht (BaFin) ausgelöst wurde.</w:t>
      </w:r>
    </w:p>
    <w:p/>
    <w:p>
      <w:pPr>
        <w:pStyle w:val="Heading2"/>
      </w:pPr>
      <w:r>
        <w:rPr>
          <w:rFonts w:ascii="Times New Roman" w:hAnsi="Times New Roman"/>
        </w:rPr>
        <w:t>Koordinationsstrategie</w:t>
      </w:r>
    </w:p>
    <w:p>
      <w:pPr>
        <w:jc w:val="left"/>
      </w:pPr>
      <w:r>
        <w:t>Um Widersprüche in den parallelen Verfahren zu vermeiden, hat die Kanzlei folgende Koordinationsregeln aufgestellt:</w:t>
      </w:r>
    </w:p>
    <w:p>
      <w:pPr>
        <w:pStyle w:val="ListNumber"/>
      </w:pPr>
      <w:r>
        <w:rPr>
          <w:b/>
        </w:rPr>
        <w:t>Einheitliche Sachverhaltsdarstellung:</w:t>
      </w:r>
      <w:r>
        <w:t xml:space="preserve"> Alle Behördenschreiben und -antworten werden von der Kanzlei koordiniert; keine abweichenden Darstellungen.</w:t>
      </w:r>
    </w:p>
    <w:p>
      <w:pPr>
        <w:pStyle w:val="ListNumber"/>
      </w:pPr>
      <w:r>
        <w:rPr>
          <w:b/>
        </w:rPr>
        <w:t>Informationsprimat BaFin:</w:t>
      </w:r>
      <w:r>
        <w:t xml:space="preserve"> BaFin als primäre Aufsichtsbehörde hat Priorität; FIU-Antworten orientieren sich an der BaFin-Darstellung.</w:t>
      </w:r>
    </w:p>
    <w:p>
      <w:pPr>
        <w:pStyle w:val="ListNumber"/>
      </w:pPr>
      <w:r>
        <w:rPr>
          <w:b/>
        </w:rPr>
        <w:t>Trennungsgebot Strafrecht:</w:t>
      </w:r>
      <w:r>
        <w:t xml:space="preserve"> Die Antworten an BaFin und FIU berücksichtigen das Strafverfahren gegen Dr. Tannenfels; selbstbelastende Angaben zu seinen Handlungen werden vermieden.</w:t>
      </w:r>
    </w:p>
    <w:p>
      <w:pPr>
        <w:pStyle w:val="ListNumber"/>
      </w:pPr>
      <w:r>
        <w:rPr>
          <w:b/>
        </w:rPr>
        <w:t>Dokumentation aller Behördenkontakte:</w:t>
      </w:r>
      <w:r>
        <w:t xml:space="preserve"> Vollständiges Protokoll aller Telefonate, Schreiben und E-Mails mit allen drei Behörden.</w:t>
      </w:r>
    </w:p>
    <w:p>
      <w:pPr>
        <w:jc w:val="left"/>
      </w:pPr>
      <w:r>
        <w:rPr>
          <w:b/>
        </w:rPr>
        <w:t>Vgl.:</w:t>
      </w:r>
      <w:r>
        <w:t xml:space="preserve"> 16-individual-strafverfahren-vorstand.md; 10-suspicious-transaction-reports-fiu.md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Ausgangslage: Drei parallele Behördenverfahren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Ausgangslage: Drei parallele Behördenverfahren</w:t>
    </w:r>
  </w:p>
  <w:p>
    <w:pPr>
      <w:jc w:val="left"/>
      <w:pBdr>
        <w:bottom w:val="single" w:sz="6" w:space="2" w:color="3B3F45"/>
      </w:pBdr>
    </w:pPr>
    <w:r>
      <w:rPr>
        <w:rFonts w:ascii="Times New Roman" w:hAnsi="Times New Roman"/>
        <w:color w:val="6B6B66"/>
        <w:sz w:val="16"/>
      </w:rPr>
      <w:t>Behörde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