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Sanktionsrahmen: Bußgeld und Untersagung</w:t>
      </w:r>
    </w:p>
    <w:p>
      <w:pPr>
        <w:jc w:val="left"/>
      </w:pPr>
      <w:r>
        <w:rPr>
          <w:b/>
        </w:rPr>
        <w:t>Dokument:</w:t>
      </w:r>
      <w:r>
        <w:t xml:space="preserve"> Rechtliche Analyse Sanktionsrisiken</w:t>
      </w:r>
    </w:p>
    <w:p>
      <w:pPr>
        <w:jc w:val="left"/>
      </w:pPr>
      <w:r>
        <w:rPr>
          <w:b/>
        </w:rPr>
        <w:t>Kanzlei:</w:t>
      </w:r>
      <w:r>
        <w:t xml:space="preserve"> Schwertbeck Roosendaal mbB</w:t>
      </w:r>
    </w:p>
    <w:p>
      <w:pPr>
        <w:jc w:val="left"/>
      </w:pPr>
      <w:r>
        <w:rPr>
          <w:b/>
        </w:rPr>
        <w:t>Datum:</w:t>
      </w:r>
      <w:r>
        <w:t xml:space="preserve"> 1. Juli 2026</w:t>
      </w:r>
    </w:p>
    <w:p>
      <w:pPr>
        <w:jc w:val="left"/>
      </w:pPr>
      <w:r>
        <w:rPr>
          <w:b/>
        </w:rPr>
        <w:t>Bearbeiterin:</w:t>
      </w:r>
      <w:r>
        <w:t xml:space="preserve"> Dr. Petra Glock-Meinhard</w:t>
      </w:r>
    </w:p>
    <w:p/>
    <w:p>
      <w:pPr>
        <w:pStyle w:val="Heading2"/>
      </w:pPr>
      <w:r>
        <w:rPr>
          <w:rFonts w:ascii="Times New Roman" w:hAnsi="Times New Roman"/>
        </w:rPr>
        <w:t>Bußgeldrahmen nach GwG</w:t>
      </w:r>
    </w:p>
    <w:p>
      <w:pPr>
        <w:pStyle w:val="Heading3"/>
      </w:pPr>
      <w:r>
        <w:rPr>
          <w:rFonts w:ascii="Times New Roman" w:hAnsi="Times New Roman"/>
        </w:rPr>
        <w:t>§ 56 GwG (Ordnungswidrigkeiten)</w:t>
      </w:r>
    </w:p>
    <w:p>
      <w:pPr>
        <w:jc w:val="left"/>
      </w:pPr>
      <w:r>
        <w:t>§ 56 GwG normiert den bußgeldrechtlichen Rahmen für Verstöße gegen die Pflichten des GwG. Für juristische Personen (hier: Thalvenia Bank AG) gelten folgende Obergrenzen: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Verstoß</w:t>
            </w:r>
          </w:p>
        </w:tc>
        <w:tc>
          <w:tcPr>
            <w:tcW w:type="dxa" w:w="3024"/>
          </w:tcPr>
          <w:p>
            <w:r>
              <w:rPr>
                <w:rFonts w:ascii="Times New Roman" w:hAnsi="Times New Roman"/>
                <w:b/>
                <w:sz w:val="20"/>
              </w:rPr>
              <w:t>Bußgeldrahmen</w:t>
            </w:r>
          </w:p>
        </w:tc>
        <w:tc>
          <w:tcPr>
            <w:tcW w:type="dxa" w:w="3024"/>
          </w:tcPr>
          <w:p>
            <w:r>
              <w:rPr>
                <w:rFonts w:ascii="Times New Roman" w:hAnsi="Times New Roman"/>
                <w:b/>
                <w:sz w:val="20"/>
              </w:rPr>
              <w:t>Anwendbare Norm</w:t>
            </w:r>
          </w:p>
        </w:tc>
      </w:tr>
      <w:tr>
        <w:tc>
          <w:tcPr>
            <w:tcW w:type="dxa" w:w="3024"/>
          </w:tcPr>
          <w:p>
            <w:r>
              <w:rPr>
                <w:rFonts w:ascii="Times New Roman" w:hAnsi="Times New Roman"/>
                <w:sz w:val="20"/>
              </w:rPr>
              <w:t>Verletzung der Sorgfaltspflichten (§§ 10-14 GwG)</w:t>
            </w:r>
          </w:p>
        </w:tc>
        <w:tc>
          <w:tcPr>
            <w:tcW w:type="dxa" w:w="3024"/>
          </w:tcPr>
          <w:p>
            <w:r>
              <w:rPr>
                <w:rFonts w:ascii="Times New Roman" w:hAnsi="Times New Roman"/>
                <w:sz w:val="20"/>
              </w:rPr>
              <w:t>Bis zu EUR 5 Mio. oder 10 % Jahresumsatz</w:t>
            </w:r>
          </w:p>
        </w:tc>
        <w:tc>
          <w:tcPr>
            <w:tcW w:type="dxa" w:w="3024"/>
          </w:tcPr>
          <w:p>
            <w:r>
              <w:rPr>
                <w:rFonts w:ascii="Times New Roman" w:hAnsi="Times New Roman"/>
                <w:sz w:val="20"/>
              </w:rPr>
              <w:t>§ 56 Abs. 1 Nr. 63 GwG</w:t>
            </w:r>
          </w:p>
        </w:tc>
      </w:tr>
      <w:tr>
        <w:tc>
          <w:tcPr>
            <w:tcW w:type="dxa" w:w="3024"/>
          </w:tcPr>
          <w:p>
            <w:r>
              <w:rPr>
                <w:rFonts w:ascii="Times New Roman" w:hAnsi="Times New Roman"/>
                <w:sz w:val="20"/>
              </w:rPr>
              <w:t>Verletzung der verstärkten Sorgfaltspflichten (§ 15 GwG)</w:t>
            </w:r>
          </w:p>
        </w:tc>
        <w:tc>
          <w:tcPr>
            <w:tcW w:type="dxa" w:w="3024"/>
          </w:tcPr>
          <w:p>
            <w:r>
              <w:rPr>
                <w:rFonts w:ascii="Times New Roman" w:hAnsi="Times New Roman"/>
                <w:sz w:val="20"/>
              </w:rPr>
              <w:t>Bis zu EUR 5 Mio. oder 10 % Jahresumsatz</w:t>
            </w:r>
          </w:p>
        </w:tc>
        <w:tc>
          <w:tcPr>
            <w:tcW w:type="dxa" w:w="3024"/>
          </w:tcPr>
          <w:p>
            <w:r>
              <w:rPr>
                <w:rFonts w:ascii="Times New Roman" w:hAnsi="Times New Roman"/>
                <w:sz w:val="20"/>
              </w:rPr>
              <w:t>§ 56 Abs. 1 Nr. 67 GwG</w:t>
            </w:r>
          </w:p>
        </w:tc>
      </w:tr>
      <w:tr>
        <w:tc>
          <w:tcPr>
            <w:tcW w:type="dxa" w:w="3024"/>
          </w:tcPr>
          <w:p>
            <w:r>
              <w:rPr>
                <w:rFonts w:ascii="Times New Roman" w:hAnsi="Times New Roman"/>
                <w:sz w:val="20"/>
              </w:rPr>
              <w:t>Unterlassene Verdachtsmeldung (§ 43 GwG)</w:t>
            </w:r>
          </w:p>
        </w:tc>
        <w:tc>
          <w:tcPr>
            <w:tcW w:type="dxa" w:w="3024"/>
          </w:tcPr>
          <w:p>
            <w:r>
              <w:rPr>
                <w:rFonts w:ascii="Times New Roman" w:hAnsi="Times New Roman"/>
                <w:sz w:val="20"/>
              </w:rPr>
              <w:t>Bis zu EUR 5 Mio. oder 10 % Jahresumsatz</w:t>
            </w:r>
          </w:p>
        </w:tc>
        <w:tc>
          <w:tcPr>
            <w:tcW w:type="dxa" w:w="3024"/>
          </w:tcPr>
          <w:p>
            <w:r>
              <w:rPr>
                <w:rFonts w:ascii="Times New Roman" w:hAnsi="Times New Roman"/>
                <w:sz w:val="20"/>
              </w:rPr>
              <w:t>§ 56 Abs. 1 Nr. 70 GwG</w:t>
            </w:r>
          </w:p>
        </w:tc>
      </w:tr>
      <w:tr>
        <w:tc>
          <w:tcPr>
            <w:tcW w:type="dxa" w:w="3024"/>
          </w:tcPr>
          <w:p>
            <w:r>
              <w:rPr>
                <w:rFonts w:ascii="Times New Roman" w:hAnsi="Times New Roman"/>
                <w:sz w:val="20"/>
              </w:rPr>
              <w:t>Verletzung der Organisationspflichten (§ 6 GwG)</w:t>
            </w:r>
          </w:p>
        </w:tc>
        <w:tc>
          <w:tcPr>
            <w:tcW w:type="dxa" w:w="3024"/>
          </w:tcPr>
          <w:p>
            <w:r>
              <w:rPr>
                <w:rFonts w:ascii="Times New Roman" w:hAnsi="Times New Roman"/>
                <w:sz w:val="20"/>
              </w:rPr>
              <w:t>Bis zu EUR 1 Mio.</w:t>
            </w:r>
          </w:p>
        </w:tc>
        <w:tc>
          <w:tcPr>
            <w:tcW w:type="dxa" w:w="3024"/>
          </w:tcPr>
          <w:p>
            <w:r>
              <w:rPr>
                <w:rFonts w:ascii="Times New Roman" w:hAnsi="Times New Roman"/>
                <w:sz w:val="20"/>
              </w:rPr>
              <w:t>§ 56 Abs. 1 Nr. 53 GwG</w:t>
            </w:r>
          </w:p>
        </w:tc>
      </w:tr>
    </w:tbl>
    <w:p>
      <w:pPr>
        <w:jc w:val="left"/>
      </w:pPr>
      <w:r>
        <w:t>Für besonders schwere und systematische Verstöße nach § 56 Abs. 2 GwG erhöht sich die Obergrenze auf EUR 5 Mio. oder alternativ 10 % des Gesamtumsatzes. Der Jahresumsatz der Thalvenia Bank AG beträgt ca. EUR 62 Mio.; 10 % entsprächen EUR 6,2 Mio.</w:t>
      </w:r>
    </w:p>
    <w:p>
      <w:pPr>
        <w:jc w:val="left"/>
      </w:pPr>
      <w:r>
        <w:rPr>
          <w:b/>
        </w:rPr>
        <w:t>Kanzlei-Schätzung Bußgeldhöhe:</w:t>
      </w:r>
      <w:r>
        <w:t xml:space="preserve"> Bei Berücksichtigung der ergriffenen Remediation-Maßnahmen, der erstmaligen Verfehlung und der kooperativen Haltung: EUR 1,2 Mio. bis EUR 2,8 Mio. Ohne Settlement-Einigung und bei Verschlechterung der Kooperationshaltung: bis zu EUR 4,5 Mio.</w:t>
      </w:r>
    </w:p>
    <w:p>
      <w:pPr>
        <w:pStyle w:val="Heading3"/>
      </w:pPr>
      <w:r>
        <w:rPr>
          <w:rFonts w:ascii="Times New Roman" w:hAnsi="Times New Roman"/>
        </w:rPr>
        <w:t>§ 60b GwG (Veröffentlichung)</w:t>
      </w:r>
    </w:p>
    <w:p>
      <w:pPr>
        <w:jc w:val="left"/>
      </w:pPr>
      <w:r>
        <w:t>§ 60b GwG verpflichtet die BaFin zur Veröffentlichung rechtskräftiger Bußgeldbescheide für Kreditinstitute im Internet. Die Veröffentlichung erfolgt mit Name des Instituts, Art des Verstoßes und Höhe des Bußgelds und verbleibt für fünf Jahre online.</w:t>
      </w:r>
    </w:p>
    <w:p>
      <w:pPr>
        <w:jc w:val="left"/>
      </w:pPr>
      <w:r>
        <w:rPr>
          <w:b/>
        </w:rPr>
        <w:t>Reputationsrisiko:</w:t>
      </w:r>
      <w:r>
        <w:t xml:space="preserve"> Eine öffentliche Veröffentlichung nach § 60b GwG würde erhebliche Reputationsschäden für die Thalvenia Bank AG verursachen, insbesondere gegenüber institutionellen Kunden, die interne AML-Compliance-Standards einhalten müssen. Das Institut muss im Rahmen der Settlement-Strategie (vgl. 18-strategie-vergleichsangebot-bafin.md) versuchen, eine nicht-öffentliche Einigung zu erzielen.</w:t>
      </w:r>
    </w:p>
    <w:p/>
    <w:p>
      <w:pPr>
        <w:pStyle w:val="Heading2"/>
      </w:pPr>
      <w:r>
        <w:rPr>
          <w:rFonts w:ascii="Times New Roman" w:hAnsi="Times New Roman"/>
        </w:rPr>
        <w:t>Aufsichtsrechtliche Maßnahmen nach KWG</w:t>
      </w:r>
    </w:p>
    <w:p>
      <w:pPr>
        <w:pStyle w:val="Heading3"/>
      </w:pPr>
      <w:r>
        <w:rPr>
          <w:rFonts w:ascii="Times New Roman" w:hAnsi="Times New Roman"/>
        </w:rPr>
        <w:t>§ 6 Abs. 3 KWG — Untersagung des Geschäftsbetriebs</w:t>
      </w:r>
    </w:p>
    <w:p>
      <w:pPr>
        <w:jc w:val="left"/>
      </w:pPr>
      <w:r>
        <w:t>Die BaFin kann nach § 6 Abs. 3 KWG den Betrieb eines Kreditinstituts ganz oder teilweise untersagen, wenn der ordnungsgemäße Geschäftsbetrieb gefährdet ist. Dies ist die schärfste Maßnahme unterhalb des Lizenzentzugs und kann als sofortige Unterbindung spezifischer Aktivitäten (z.B. Eigenhandel Token TN) oder als vollständige Untersagung ausgesprochen werden.</w:t>
      </w:r>
    </w:p>
    <w:p>
      <w:pPr>
        <w:jc w:val="left"/>
      </w:pPr>
      <w:r>
        <w:rPr>
          <w:b/>
        </w:rPr>
        <w:t>Einschätzung:</w:t>
      </w:r>
      <w:r>
        <w:t xml:space="preserve"> Eine vollständige Untersagung ist unwahrscheinlich, da das Institut seine Cold-Custody-Kerndienstleistung aufrecht hält und die Kundenvermögen zu keiner Zeit gefährdet waren. Eine partielle Untersagung des Eigenhandels in Token TN ist realistisch als Settlement-Vereinbarung.</w:t>
      </w:r>
    </w:p>
    <w:p>
      <w:pPr>
        <w:pStyle w:val="Heading3"/>
      </w:pPr>
      <w:r>
        <w:rPr>
          <w:rFonts w:ascii="Times New Roman" w:hAnsi="Times New Roman"/>
        </w:rPr>
        <w:t>§ 35 Abs. 2 KWG — Widerruf der Zulassung</w:t>
      </w:r>
    </w:p>
    <w:p>
      <w:pPr>
        <w:jc w:val="left"/>
      </w:pPr>
      <w:r>
        <w:t>Ein Lizenzentzug nach § 35 Abs. 2 KWG kommt in Betracht, wenn das Institut nachhaltig aufsichtsrechtliche Anforderungen verletzt oder der Geschäftsbetrieb gravierend gefährdet ist. Diese Schwelle ist nach dem aktuellen Sachstand nicht erreicht. Das Institut wäre in einem solchen Fall wirtschaftlich nicht lebensfähig (EUR 4,3 Mrd. AuM wären zu übertragen); die BaFin würde dies als ultima ratio einsetzen.</w:t>
      </w:r>
    </w:p>
    <w:p/>
    <w:p>
      <w:pPr>
        <w:pStyle w:val="Heading2"/>
      </w:pPr>
      <w:r>
        <w:rPr>
          <w:rFonts w:ascii="Times New Roman" w:hAnsi="Times New Roman"/>
        </w:rPr>
        <w:t>BAIT-Sanktionen</w:t>
      </w:r>
    </w:p>
    <w:p>
      <w:pPr>
        <w:jc w:val="left"/>
      </w:pPr>
      <w:r>
        <w:t>Für den Cybervorfall-Meldungsverzug ist kein spezifischer GwG-Tatbestand einschlägig. Die BAIT begründet keine eigenständige Bußgeldbewehrung; stattdessen fließt der BAIT-Verstoß in die Beurteilung nach § 25a KWG ein. Eine Anordnung nach § 25a KWG ist kein Sanktionsinstrument, sondern eine Verpflichtung zur Mängelbeseitigung.</w:t>
      </w:r>
    </w:p>
    <w:p/>
    <w:p>
      <w:pPr>
        <w:pStyle w:val="Heading2"/>
      </w:pPr>
      <w:r>
        <w:rPr>
          <w:rFonts w:ascii="Times New Roman" w:hAnsi="Times New Roman"/>
        </w:rPr>
        <w:t>Strafrecht — Individuelle Sanktionen</w:t>
      </w:r>
    </w:p>
    <w:p>
      <w:pPr>
        <w:jc w:val="left"/>
      </w:pPr>
      <w:r>
        <w:t>Für individuelle Verstöße (Dr. Tannenfels, § 261 StGB) gelten die allgemeinen strafrechtlichen Sanktionsnormen: Freiheitsstrafe bis zu 5 Jahren oder Geldstrafe. Bei minder schweren Fällen (§ 261 Abs. 4 StGB) bis zu 2 Jahre oder Geldstrafe. Die Staatsanwaltschaft Stuttgart prüft derzeit noch, ob hinreichender Tatverdacht vorliegt.</w:t>
      </w:r>
    </w:p>
    <w:p>
      <w:pPr>
        <w:jc w:val="left"/>
      </w:pPr>
      <w:r>
        <w:rPr>
          <w:b/>
        </w:rPr>
        <w:t>Vgl.:</w:t>
      </w:r>
      <w:r>
        <w:t xml:space="preserve"> 18-strategie-vergleichsangebot-bafin.md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Schwertbeck Roosendaal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SCHWERTBECK ROOSENDAAL MBB</w:t>
    </w:r>
  </w:p>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