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Vergleichsstrategie und Settlement-Angebot an die BaFin</w:t>
      </w:r>
    </w:p>
    <w:p>
      <w:pPr>
        <w:jc w:val="left"/>
      </w:pPr>
      <w:r>
        <w:rPr>
          <w:b/>
        </w:rPr>
        <w:t>Dokument:</w:t>
      </w:r>
      <w:r>
        <w:t xml:space="preserve"> Strategiepapier für Settlement-Verhandlung</w:t>
      </w:r>
    </w:p>
    <w:p>
      <w:pPr>
        <w:jc w:val="left"/>
      </w:pPr>
      <w:r>
        <w:rPr>
          <w:b/>
        </w:rPr>
        <w:t>Kanzlei:</w:t>
      </w:r>
      <w:r>
        <w:t xml:space="preserve"> Schwertbeck Roosendaal mbB</w:t>
      </w:r>
    </w:p>
    <w:p>
      <w:pPr>
        <w:jc w:val="left"/>
      </w:pPr>
      <w:r>
        <w:rPr>
          <w:b/>
        </w:rPr>
        <w:t>Datum:</w:t>
      </w:r>
      <w:r>
        <w:t xml:space="preserve"> 20. Juli 2026</w:t>
      </w:r>
    </w:p>
    <w:p>
      <w:pPr>
        <w:jc w:val="left"/>
      </w:pPr>
      <w:r>
        <w:rPr>
          <w:b/>
        </w:rPr>
        <w:t>Bearbeiterin:</w:t>
      </w:r>
      <w:r>
        <w:t xml:space="preserve"> Prof. Dr. Heinrich Schwertbeck</w:t>
      </w:r>
    </w:p>
    <w:p/>
    <w:p>
      <w:pPr>
        <w:pStyle w:val="Heading2"/>
      </w:pPr>
      <w:r>
        <w:rPr>
          <w:rFonts w:ascii="Times New Roman" w:hAnsi="Times New Roman"/>
        </w:rPr>
        <w:t>Vorbemerkung</w:t>
      </w:r>
    </w:p>
    <w:p>
      <w:pPr>
        <w:jc w:val="left"/>
      </w:pPr>
      <w:r>
        <w:t>Die BaFin führt im deutschen Aufsichtsrecht kein formelles "Settlement"-Verfahren wie etwa die SEC in den USA. Es gibt jedoch eine gewachsene Praxis, bei der Instituten vor dem Erlass eines Bußgeldbescheids Gelegenheit gegeben wird, Abhilfemaßnahmen als Undertakings zuzusagen und dadurch die Bußgeldhöhe und -öffentlichkeit zu beeinflussen. Diese Praxis wird in der Anhörungsphase nach § 28 VwVfG realisiert.</w:t>
      </w:r>
    </w:p>
    <w:p/>
    <w:p>
      <w:pPr>
        <w:pStyle w:val="Heading2"/>
      </w:pPr>
      <w:r>
        <w:rPr>
          <w:rFonts w:ascii="Times New Roman" w:hAnsi="Times New Roman"/>
        </w:rPr>
        <w:t>Settlement-Strategie</w:t>
      </w:r>
    </w:p>
    <w:p>
      <w:pPr>
        <w:pStyle w:val="Heading3"/>
      </w:pPr>
      <w:r>
        <w:rPr>
          <w:rFonts w:ascii="Times New Roman" w:hAnsi="Times New Roman"/>
        </w:rPr>
        <w:t>Strategie-Elemente</w:t>
      </w:r>
    </w:p>
    <w:p>
      <w:pPr>
        <w:jc w:val="left"/>
      </w:pPr>
      <w:r>
        <w:rPr>
          <w:b/>
        </w:rPr>
        <w:t>Element 1 — Kooperation als Hauptargument</w:t>
      </w:r>
    </w:p>
    <w:p>
      <w:pPr>
        <w:jc w:val="left"/>
      </w:pPr>
      <w:r>
        <w:t>Das Institut kooperiert seit Einleitung der Prüfung vollständig. Es hat alle angeforderten Dokumente vollständig und fristgerecht geliefert. Es hat keine Verfahrenshindernisse errichtet. Diese Haltung soll explizit als strafmildernder Umstand vorgetragen werden.</w:t>
      </w:r>
    </w:p>
    <w:p>
      <w:pPr>
        <w:jc w:val="left"/>
      </w:pPr>
      <w:r>
        <w:rPr>
          <w:b/>
        </w:rPr>
        <w:t>Element 2 — Undertakings zur Remediation</w:t>
      </w:r>
    </w:p>
    <w:p>
      <w:pPr>
        <w:jc w:val="left"/>
      </w:pPr>
      <w:r>
        <w:t>Das Institut bietet folgende verbindliche Undertakings an:</w:t>
      </w:r>
    </w:p>
    <w:p>
      <w:pPr>
        <w:pStyle w:val="ListBullet"/>
      </w:pPr>
      <w:r>
        <w:t>Vorlage des IT-Prüfberichts 2024 innerhalb von 45 Tagen nach BaFin-Bescheid</w:t>
      </w:r>
    </w:p>
    <w:p>
      <w:pPr>
        <w:pStyle w:val="ListBullet"/>
      </w:pPr>
      <w:r>
        <w:t>Vollständige KYC-Nacherfüllung für alle Hochrisikokunden bis 30. September 2026</w:t>
      </w:r>
    </w:p>
    <w:p>
      <w:pPr>
        <w:pStyle w:val="ListBullet"/>
      </w:pPr>
      <w:r>
        <w:t>Einstellung des Token-TN-Eigenhandels bis zur BaFin-Freigabe (faktische Eigentätigkeit eingestellt ab August 2026)</w:t>
      </w:r>
    </w:p>
    <w:p>
      <w:pPr>
        <w:pStyle w:val="ListBullet"/>
      </w:pPr>
      <w:r>
        <w:t>Externe AML-Prüfung durch einen von der BaFin akzeptierten Wirtschaftsprüfer (KPMG) bis 31. Oktober 2026</w:t>
      </w:r>
    </w:p>
    <w:p>
      <w:pPr>
        <w:jc w:val="left"/>
      </w:pPr>
      <w:r>
        <w:rPr>
          <w:b/>
        </w:rPr>
        <w:t>Element 3 — Bußgeldhöhe</w:t>
      </w:r>
    </w:p>
    <w:p>
      <w:pPr>
        <w:jc w:val="left"/>
      </w:pPr>
      <w:r>
        <w:t>Das Institut bietet an, einem Bußgeld in Höhe von EUR 1,5 Mio. zuzustimmen, wenn die BaFin auf eine Veröffentlichung nach § 60b GwG verzichtet oder diese auf eine Minimalfassung ohne institutsspezifische Details reduziert. Eine Veröffentlichung ohne Namensnennung ist nach § 60b Abs. 5 GwG möglich, wenn die Veröffentlichung verhältnismäßig wäre oder persönliche Daten schützt — hier analog der Institutspersönlichkeit.</w:t>
      </w:r>
    </w:p>
    <w:p>
      <w:pPr>
        <w:jc w:val="left"/>
      </w:pPr>
      <w:r>
        <w:rPr>
          <w:b/>
        </w:rPr>
        <w:t>Element 4 — MiCAR-Verbindung</w:t>
      </w:r>
    </w:p>
    <w:p>
      <w:pPr>
        <w:jc w:val="left"/>
      </w:pPr>
      <w:r>
        <w:t>Das Institut bittet, den CASP-Zulassungsantrag von den Bußgeldüberlegungen zu trennen. Konkret wird angeboten:</w:t>
      </w:r>
    </w:p>
    <w:p>
      <w:pPr>
        <w:pStyle w:val="ListBullet"/>
      </w:pPr>
      <w:r>
        <w:t>Wenn die BaFin den CASP-Antrag positiv bescheidet, wird das Institut eine zusätzliche freiwillige Zahlung von EUR 200.000 für ein BaFin-Fortbildungsprogramm leisten (kein Bußgeld, sondern freiwillige Unterstützungsmaßnahme).</w:t>
      </w:r>
    </w:p>
    <w:p>
      <w:pPr>
        <w:pStyle w:val="ListBullet"/>
      </w:pPr>
      <w:r>
        <w:t>Das Institut stimmt einer jährlichen Sonderprüfung durch BaFin für die ersten drei Jahre nach CASP-Zulassung zu.</w:t>
      </w:r>
    </w:p>
    <w:p/>
    <w:p>
      <w:pPr>
        <w:pStyle w:val="Heading2"/>
      </w:pPr>
      <w:r>
        <w:rPr>
          <w:rFonts w:ascii="Times New Roman" w:hAnsi="Times New Roman"/>
        </w:rPr>
        <w:t>Vergleichskorridor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Szenario</w:t>
            </w:r>
          </w:p>
        </w:tc>
        <w:tc>
          <w:tcPr>
            <w:tcW w:type="dxa" w:w="1814"/>
          </w:tcPr>
          <w:p>
            <w:r>
              <w:rPr>
                <w:rFonts w:ascii="Times New Roman" w:hAnsi="Times New Roman"/>
                <w:b/>
                <w:sz w:val="20"/>
              </w:rPr>
              <w:t>Bußgeld (Institute)</w:t>
            </w:r>
          </w:p>
        </w:tc>
        <w:tc>
          <w:tcPr>
            <w:tcW w:type="dxa" w:w="1814"/>
          </w:tcPr>
          <w:p>
            <w:r>
              <w:rPr>
                <w:rFonts w:ascii="Times New Roman" w:hAnsi="Times New Roman"/>
                <w:b/>
                <w:sz w:val="20"/>
              </w:rPr>
              <w:t>Veröffentlichung</w:t>
            </w:r>
          </w:p>
        </w:tc>
        <w:tc>
          <w:tcPr>
            <w:tcW w:type="dxa" w:w="1814"/>
          </w:tcPr>
          <w:p>
            <w:r>
              <w:rPr>
                <w:rFonts w:ascii="Times New Roman" w:hAnsi="Times New Roman"/>
                <w:b/>
                <w:sz w:val="20"/>
              </w:rPr>
              <w:t>MiCAR</w:t>
            </w:r>
          </w:p>
        </w:tc>
        <w:tc>
          <w:tcPr>
            <w:tcW w:type="dxa" w:w="1814"/>
          </w:tcPr>
          <w:p>
            <w:r>
              <w:rPr>
                <w:rFonts w:ascii="Times New Roman" w:hAnsi="Times New Roman"/>
                <w:b/>
                <w:sz w:val="20"/>
              </w:rPr>
              <w:t>Eigenhandel Token TN</w:t>
            </w:r>
          </w:p>
        </w:tc>
      </w:tr>
      <w:tr>
        <w:tc>
          <w:tcPr>
            <w:tcW w:type="dxa" w:w="1814"/>
          </w:tcPr>
          <w:p>
            <w:r>
              <w:rPr>
                <w:rFonts w:ascii="Times New Roman" w:hAnsi="Times New Roman"/>
                <w:sz w:val="20"/>
              </w:rPr>
              <w:t>Best Case (Settlement einig)</w:t>
            </w:r>
          </w:p>
        </w:tc>
        <w:tc>
          <w:tcPr>
            <w:tcW w:type="dxa" w:w="1814"/>
          </w:tcPr>
          <w:p>
            <w:r>
              <w:rPr>
                <w:rFonts w:ascii="Times New Roman" w:hAnsi="Times New Roman"/>
                <w:sz w:val="20"/>
              </w:rPr>
              <w:t>EUR 1,5 Mio.</w:t>
            </w:r>
          </w:p>
        </w:tc>
        <w:tc>
          <w:tcPr>
            <w:tcW w:type="dxa" w:w="1814"/>
          </w:tcPr>
          <w:p>
            <w:r>
              <w:rPr>
                <w:rFonts w:ascii="Times New Roman" w:hAnsi="Times New Roman"/>
                <w:sz w:val="20"/>
              </w:rPr>
              <w:t>Keine Namensnennung</w:t>
            </w:r>
          </w:p>
        </w:tc>
        <w:tc>
          <w:tcPr>
            <w:tcW w:type="dxa" w:w="1814"/>
          </w:tcPr>
          <w:p>
            <w:r>
              <w:rPr>
                <w:rFonts w:ascii="Times New Roman" w:hAnsi="Times New Roman"/>
                <w:sz w:val="20"/>
              </w:rPr>
              <w:t>CASP erteilt Q3 2026</w:t>
            </w:r>
          </w:p>
        </w:tc>
        <w:tc>
          <w:tcPr>
            <w:tcW w:type="dxa" w:w="1814"/>
          </w:tcPr>
          <w:p>
            <w:r>
              <w:rPr>
                <w:rFonts w:ascii="Times New Roman" w:hAnsi="Times New Roman"/>
                <w:sz w:val="20"/>
              </w:rPr>
              <w:t>Eingestellt bis Freigabe</w:t>
            </w:r>
          </w:p>
        </w:tc>
      </w:tr>
      <w:tr>
        <w:tc>
          <w:tcPr>
            <w:tcW w:type="dxa" w:w="1814"/>
          </w:tcPr>
          <w:p>
            <w:r>
              <w:rPr>
                <w:rFonts w:ascii="Times New Roman" w:hAnsi="Times New Roman"/>
                <w:sz w:val="20"/>
              </w:rPr>
              <w:t>Mid Case (teilweise Einigung)</w:t>
            </w:r>
          </w:p>
        </w:tc>
        <w:tc>
          <w:tcPr>
            <w:tcW w:type="dxa" w:w="1814"/>
          </w:tcPr>
          <w:p>
            <w:r>
              <w:rPr>
                <w:rFonts w:ascii="Times New Roman" w:hAnsi="Times New Roman"/>
                <w:sz w:val="20"/>
              </w:rPr>
              <w:t>EUR 2,5 Mio.</w:t>
            </w:r>
          </w:p>
        </w:tc>
        <w:tc>
          <w:tcPr>
            <w:tcW w:type="dxa" w:w="1814"/>
          </w:tcPr>
          <w:p>
            <w:r>
              <w:rPr>
                <w:rFonts w:ascii="Times New Roman" w:hAnsi="Times New Roman"/>
                <w:sz w:val="20"/>
              </w:rPr>
              <w:t>Kurzmeldung</w:t>
            </w:r>
          </w:p>
        </w:tc>
        <w:tc>
          <w:tcPr>
            <w:tcW w:type="dxa" w:w="1814"/>
          </w:tcPr>
          <w:p>
            <w:r>
              <w:rPr>
                <w:rFonts w:ascii="Times New Roman" w:hAnsi="Times New Roman"/>
                <w:sz w:val="20"/>
              </w:rPr>
              <w:t>CASP erteilt Q4 2026</w:t>
            </w:r>
          </w:p>
        </w:tc>
        <w:tc>
          <w:tcPr>
            <w:tcW w:type="dxa" w:w="1814"/>
          </w:tcPr>
          <w:p>
            <w:r>
              <w:rPr>
                <w:rFonts w:ascii="Times New Roman" w:hAnsi="Times New Roman"/>
                <w:sz w:val="20"/>
              </w:rPr>
              <w:t>Eingestellt auf unbestimmte Zeit</w:t>
            </w:r>
          </w:p>
        </w:tc>
      </w:tr>
      <w:tr>
        <w:tc>
          <w:tcPr>
            <w:tcW w:type="dxa" w:w="1814"/>
          </w:tcPr>
          <w:p>
            <w:r>
              <w:rPr>
                <w:rFonts w:ascii="Times New Roman" w:hAnsi="Times New Roman"/>
                <w:sz w:val="20"/>
              </w:rPr>
              <w:t>Worst Case (kein Settlement)</w:t>
            </w:r>
          </w:p>
        </w:tc>
        <w:tc>
          <w:tcPr>
            <w:tcW w:type="dxa" w:w="1814"/>
          </w:tcPr>
          <w:p>
            <w:r>
              <w:rPr>
                <w:rFonts w:ascii="Times New Roman" w:hAnsi="Times New Roman"/>
                <w:sz w:val="20"/>
              </w:rPr>
              <w:t>EUR 4,0-5,0 Mio.</w:t>
            </w:r>
          </w:p>
        </w:tc>
        <w:tc>
          <w:tcPr>
            <w:tcW w:type="dxa" w:w="1814"/>
          </w:tcPr>
          <w:p>
            <w:r>
              <w:rPr>
                <w:rFonts w:ascii="Times New Roman" w:hAnsi="Times New Roman"/>
                <w:sz w:val="20"/>
              </w:rPr>
              <w:t>Vollständige Veröffentlichung</w:t>
            </w:r>
          </w:p>
        </w:tc>
        <w:tc>
          <w:tcPr>
            <w:tcW w:type="dxa" w:w="1814"/>
          </w:tcPr>
          <w:p>
            <w:r>
              <w:rPr>
                <w:rFonts w:ascii="Times New Roman" w:hAnsi="Times New Roman"/>
                <w:sz w:val="20"/>
              </w:rPr>
              <w:t>CASP gefährdet/versagt</w:t>
            </w:r>
          </w:p>
        </w:tc>
        <w:tc>
          <w:tcPr>
            <w:tcW w:type="dxa" w:w="1814"/>
          </w:tcPr>
          <w:p>
            <w:r>
              <w:rPr>
                <w:rFonts w:ascii="Times New Roman" w:hAnsi="Times New Roman"/>
                <w:sz w:val="20"/>
              </w:rPr>
              <w:t>Mögliche partielle Untersagung</w:t>
            </w:r>
          </w:p>
        </w:tc>
      </w:tr>
    </w:tbl>
    <w:p/>
    <w:p>
      <w:pPr>
        <w:pStyle w:val="Heading2"/>
      </w:pPr>
      <w:r>
        <w:rPr>
          <w:rFonts w:ascii="Times New Roman" w:hAnsi="Times New Roman"/>
        </w:rPr>
        <w:t>Verfahrensablauf Settlement-Verhandlung</w:t>
      </w:r>
    </w:p>
    <w:p>
      <w:pPr>
        <w:pStyle w:val="ListNumber"/>
      </w:pPr>
      <w:r>
        <w:rPr>
          <w:b/>
        </w:rPr>
        <w:t>28. Juli 2026:</w:t>
      </w:r>
      <w:r>
        <w:t xml:space="preserve"> Einreichung formelle Stellungnahme mit Undertakings (vgl. 13-stellungnahme-vorstand-thalvenia.md)</w:t>
      </w:r>
    </w:p>
    <w:p>
      <w:pPr>
        <w:pStyle w:val="ListNumber"/>
      </w:pPr>
      <w:r>
        <w:rPr>
          <w:b/>
        </w:rPr>
        <w:t>August 2026:</w:t>
      </w:r>
      <w:r>
        <w:t xml:space="preserve"> Bilateral-Gespräch Dr. Kösters / Prof. Dr. Schwertbeck zur Diskussion Settlement-Optionen</w:t>
      </w:r>
    </w:p>
    <w:p>
      <w:pPr>
        <w:pStyle w:val="ListNumber"/>
      </w:pPr>
      <w:r>
        <w:rPr>
          <w:b/>
        </w:rPr>
        <w:t>September 2026:</w:t>
      </w:r>
      <w:r>
        <w:t xml:space="preserve"> Formelles Settlement-Angebot in Briefform an BaFin-Präsidentin</w:t>
      </w:r>
    </w:p>
    <w:p>
      <w:pPr>
        <w:pStyle w:val="ListNumber"/>
      </w:pPr>
      <w:r>
        <w:rPr>
          <w:b/>
        </w:rPr>
        <w:t>Oktober 2026:</w:t>
      </w:r>
      <w:r>
        <w:t xml:space="preserve"> BaFin-Entscheidung (Bußgeldbescheid oder Verfahrenseinstellung bei Settlement)</w:t>
      </w:r>
    </w:p>
    <w:p/>
    <w:p>
      <w:pPr>
        <w:pStyle w:val="Heading2"/>
      </w:pPr>
      <w:r>
        <w:rPr>
          <w:rFonts w:ascii="Times New Roman" w:hAnsi="Times New Roman"/>
        </w:rPr>
        <w:t>MAR-Verfahren (Token TN)</w:t>
      </w:r>
    </w:p>
    <w:p>
      <w:pPr>
        <w:jc w:val="left"/>
      </w:pPr>
      <w:r>
        <w:t>Für den noch in der Voruntersuchung befindlichen MAR-Sachverhalt empfiehlt die Kanzlei, aktiv auf eine Voruntersuchungs-Einstellung hinzuwirken. Argumente:</w:t>
      </w:r>
    </w:p>
    <w:p>
      <w:pPr>
        <w:pStyle w:val="ListBullet"/>
      </w:pPr>
      <w:r>
        <w:t>Kein Nachweis koordinierter Handlungen mit HR-07</w:t>
      </w:r>
    </w:p>
    <w:p>
      <w:pPr>
        <w:pStyle w:val="ListBullet"/>
      </w:pPr>
      <w:r>
        <w:t>Institut hat Token-TN-Eigenhandel eingestellt (Remediation)</w:t>
      </w:r>
    </w:p>
    <w:p>
      <w:pPr>
        <w:pStyle w:val="ListBullet"/>
      </w:pPr>
      <w:r>
        <w:t>Die fraglichen Kurseffekte könnten auch auf breite Marktbewegungen zurückzuführen sein</w:t>
      </w:r>
    </w:p>
    <w:p>
      <w:pPr>
        <w:jc w:val="left"/>
      </w:pPr>
      <w:r>
        <w:t>Die Kanzlei wird ein externes Sachverständigengutachten zu den Kurseffekten in Auftrag geben.</w:t>
      </w:r>
    </w:p>
    <w:p>
      <w:pPr>
        <w:jc w:val="left"/>
      </w:pPr>
      <w:r>
        <w:rPr>
          <w:b/>
        </w:rPr>
        <w:t>Vgl.:</w:t>
      </w:r>
      <w:r>
        <w:t xml:space="preserve"> 17-sanktionsrahmen-bussgeld-untersagung.md; 21-roadmap-remediation-100-tage.md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Schwertbeck Roosendaal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SCHWERTBECK ROOSENDAAL MBB</w:t>
    </w:r>
  </w:p>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