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Pressemitteilung (Entwurf)</w:t>
      </w:r>
    </w:p>
    <w:p>
      <w:pPr>
        <w:jc w:val="left"/>
      </w:pPr>
      <w:r>
        <w:rPr>
          <w:b/>
        </w:rPr>
        <w:t>Status:</w:t>
      </w:r>
      <w:r>
        <w:t xml:space="preserve"> Entwurf — nicht veröffentlicht</w:t>
      </w:r>
    </w:p>
    <w:p>
      <w:pPr>
        <w:jc w:val="left"/>
      </w:pPr>
      <w:r>
        <w:rPr>
          <w:b/>
        </w:rPr>
        <w:t>Datum Entwurf:</w:t>
      </w:r>
      <w:r>
        <w:t xml:space="preserve"> 2. August 2026</w:t>
      </w:r>
    </w:p>
    <w:p>
      <w:pPr>
        <w:jc w:val="left"/>
      </w:pPr>
      <w:r>
        <w:rPr>
          <w:b/>
        </w:rPr>
        <w:t>Autorin:</w:t>
      </w:r>
      <w:r>
        <w:t xml:space="preserve"> Dr. Petra Glock-Meinhard / IR-Team Thalvenia</w:t>
      </w:r>
    </w:p>
    <w:p>
      <w:pPr>
        <w:jc w:val="left"/>
      </w:pPr>
      <w:r>
        <w:rPr>
          <w:b/>
        </w:rPr>
        <w:t>Freigabe erforderlich durch:</w:t>
      </w:r>
      <w:r>
        <w:t xml:space="preserve"> Vorstand, Aufsichtsrat, Kanzlei Schwertbeck Roosendaal</w:t>
      </w:r>
    </w:p>
    <w:p>
      <w:pPr>
        <w:jc w:val="left"/>
      </w:pPr>
      <w:r>
        <w:rPr>
          <w:b/>
        </w:rPr>
        <w:t>Hinweis:</w:t>
      </w:r>
      <w:r>
        <w:t xml:space="preserve"> Freigabe steht aus; Veröffentlichungszeitpunkt abhängig von BaFin-Entscheid</w:t>
      </w:r>
    </w:p>
    <w:p/>
    <w:p>
      <w:pPr>
        <w:pStyle w:val="Heading2"/>
      </w:pPr>
      <w:r>
        <w:rPr>
          <w:rFonts w:ascii="Times New Roman" w:hAnsi="Times New Roman"/>
        </w:rPr>
        <w:t>ENTWURF — FÜR INTERNE ABSTIMMUNG — NICHT ZUR VERÖFFENTLICHUNG</w:t>
      </w:r>
    </w:p>
    <w:p/>
    <w:p>
      <w:pPr>
        <w:jc w:val="left"/>
      </w:pPr>
      <w:r>
        <w:rPr>
          <w:b/>
        </w:rPr>
        <w:t>Pressemitteilung</w:t>
      </w:r>
    </w:p>
    <w:p>
      <w:pPr>
        <w:jc w:val="left"/>
      </w:pPr>
      <w:r>
        <w:rPr>
          <w:b/>
        </w:rPr>
        <w:t>Thalvenia Bank AG Stuttgart</w:t>
      </w:r>
    </w:p>
    <w:p>
      <w:pPr>
        <w:jc w:val="left"/>
      </w:pPr>
      <w:r>
        <w:rPr>
          <w:b/>
        </w:rPr>
        <w:t>Stuttgart, [Datum einfügen] — Thalvenia Bank AG kommentiert laufende BaFin-Prüfung und kommuniziert Maßnahmen zur Compliance-Stärkung</w:t>
      </w:r>
    </w:p>
    <w:p>
      <w:pPr>
        <w:jc w:val="left"/>
      </w:pPr>
      <w:r>
        <w:t>Die Thalvenia Bank AG (Thalvenia), eines der führenden deutschen Spezialinstitute für institutionelle Kryptoverwahrung, gibt im Zusammenhang mit der im März 2026 eingeleiteten Sonderprüfung durch die Bundesanstalt für Finanzdienstleistungsaufsicht (BaFin) folgende Erklärung ab:</w:t>
      </w:r>
    </w:p>
    <w:p>
      <w:pPr>
        <w:jc w:val="left"/>
      </w:pPr>
      <w:r>
        <w:rPr>
          <w:b/>
        </w:rPr>
        <w:t>Über die BaFin-Prüfung</w:t>
      </w:r>
    </w:p>
    <w:p>
      <w:pPr>
        <w:jc w:val="left"/>
      </w:pPr>
      <w:r>
        <w:t>Im Rahmen der regulären Aufsichtstätigkeit der BaFin wurde die Thalvenia Bank AG einer Sonderprüfung nach § 44 KWG unterzogen. Diese Prüfung hat Bereiche identifiziert, in denen das Institut seine internen Prozesse und Dokumentation verbessern kann. Thalvenia nimmt die regulatorischen Anforderungen ernst und hat aktiv mit der BaFin kooperiert.</w:t>
      </w:r>
    </w:p>
    <w:p>
      <w:pPr>
        <w:jc w:val="left"/>
      </w:pPr>
      <w:r>
        <w:rPr>
          <w:b/>
        </w:rPr>
        <w:t>Maßnahmen</w:t>
      </w:r>
    </w:p>
    <w:p>
      <w:pPr>
        <w:jc w:val="left"/>
      </w:pPr>
      <w:r>
        <w:t>Thalvenia hat seit März 2026 ein umfassendes Programm zur Stärkung seiner Compliance-Strukturen eingeleitet, das folgende Bereiche umfasst:</w:t>
      </w:r>
    </w:p>
    <w:p>
      <w:pPr>
        <w:pStyle w:val="ListBullet"/>
      </w:pPr>
      <w:r>
        <w:t>Aktualisierung der Geldwäsche-Risikoanalyse und Verstärkung der Kundensorgfaltsprozesse</w:t>
      </w:r>
    </w:p>
    <w:p>
      <w:pPr>
        <w:pStyle w:val="ListBullet"/>
      </w:pPr>
      <w:r>
        <w:t>Upgrade des PEP-Screening-Systems auf erweiterte Datenbankabdeckung</w:t>
      </w:r>
    </w:p>
    <w:p>
      <w:pPr>
        <w:pStyle w:val="ListBullet"/>
      </w:pPr>
      <w:r>
        <w:t>Überarbeitung der IT-Sicherheitsprozesse, einschließlich SOC-Eskalationsverfahren und Notfallkonzepte</w:t>
      </w:r>
    </w:p>
    <w:p>
      <w:pPr>
        <w:pStyle w:val="ListBullet"/>
      </w:pPr>
      <w:r>
        <w:t>Einführung eines neuen Produkt-Genehmigungsprozesses für alle neuen Handelsinstrumente</w:t>
      </w:r>
    </w:p>
    <w:p>
      <w:pPr>
        <w:pStyle w:val="ListBullet"/>
      </w:pPr>
      <w:r>
        <w:t>Erhöhung der Schulungsquote für AML-relevante Mitarbeiter auf 100 %</w:t>
      </w:r>
    </w:p>
    <w:p>
      <w:pPr>
        <w:jc w:val="left"/>
      </w:pPr>
      <w:r>
        <w:t>"Wir nehmen regulatorische Anforderungen sehr ernst", erklärt CEO Dr. Cornelius Thalheim-Lattermann. "Die identifizierten Verbesserungsbedarfe haben wir umgehend adressiert. Unsere Kunden können sich auf die Sicherheit ihrer Vermögen und die Integrität unserer Prozesse verlassen."</w:t>
      </w:r>
    </w:p>
    <w:p>
      <w:pPr>
        <w:jc w:val="left"/>
      </w:pPr>
      <w:r>
        <w:rPr>
          <w:b/>
        </w:rPr>
        <w:t>MiCAR-Zulassung</w:t>
      </w:r>
    </w:p>
    <w:p>
      <w:pPr>
        <w:jc w:val="left"/>
      </w:pPr>
      <w:r>
        <w:t>Thalvenia beantragte im November 2024 die Zulassung als Crypto-Asset Service Provider (CASP) nach der europäischen MiCAR-Verordnung. Das Verfahren läuft regulär und das Institut ist zuversichtlich, die Zulassung zu erhalten.</w:t>
      </w:r>
    </w:p>
    <w:p>
      <w:pPr>
        <w:jc w:val="left"/>
      </w:pPr>
      <w:r>
        <w:rPr>
          <w:b/>
        </w:rPr>
        <w:t>Kundenvermögen</w:t>
      </w:r>
    </w:p>
    <w:p>
      <w:pPr>
        <w:jc w:val="left"/>
      </w:pPr>
      <w:r>
        <w:t>Die verwalteten Kundenvermögen in Höhe von EUR 4,3 Mrd. waren zu keinem Zeitpunkt gefährdet. Die Kerndienste des Instituts — Cold Custody, MPC Signing und Staking Services — waren mit Ausnahme eines kurzen, nicht kundenrelevanten Serviceausfalls im Januar 2026 durchgehend verfügbar.</w:t>
      </w:r>
    </w:p>
    <w:p>
      <w:pPr>
        <w:jc w:val="left"/>
      </w:pPr>
      <w:r>
        <w:rPr>
          <w:b/>
        </w:rPr>
        <w:t>Über Thalvenia Bank AG</w:t>
      </w:r>
    </w:p>
    <w:p>
      <w:pPr>
        <w:jc w:val="left"/>
      </w:pPr>
      <w:r>
        <w:t>Die Thalvenia Bank AG ist ein Stuttgarter Spezialinstitut für institutionelle Kryptoverwahrung. Mit einer Zulassung seit Oktober 2020 ist Thalvenia eines der pionierenden deutschen Kryptoverwahrungsinstitute. Das Institut verwaltet Kryptovermögen für institutionelle Anleger in Deutschland, der Schweiz und Österreich.</w:t>
      </w:r>
    </w:p>
    <w:p/>
    <w:p>
      <w:pPr>
        <w:pStyle w:val="Heading2"/>
      </w:pPr>
      <w:r>
        <w:rPr>
          <w:rFonts w:ascii="Times New Roman" w:hAnsi="Times New Roman"/>
        </w:rPr>
        <w:t>Interne Kommentare zur Entwurfsfassung</w:t>
      </w:r>
    </w:p>
    <w:p>
      <w:pPr>
        <w:jc w:val="left"/>
      </w:pPr>
      <w:r>
        <w:rPr>
          <w:b/>
        </w:rPr>
        <w:t>Prof. Dr. Schwertbeck (27.07.2026, mündlich):</w:t>
      </w:r>
    </w:p>
    <w:p>
      <w:pPr>
        <w:jc w:val="left"/>
      </w:pPr>
      <w:r>
        <w:t>"Die Formulierung zur BaFin-Prüfung ist zu vage. Es muss deutlich werden, dass es sich um eine reguläre Sonderprüfung ohne Lizenzentzug-Risiko handelt. Außerdem: Bitte das MAR-Verfahren Token TN nicht erwähnen — das ist noch in der Voruntersuchungsphase."</w:t>
      </w:r>
    </w:p>
    <w:p>
      <w:pPr>
        <w:jc w:val="left"/>
      </w:pPr>
      <w:r>
        <w:rPr>
          <w:b/>
        </w:rPr>
        <w:t>CRO Dr. Birkenhainer (28.07.2026, E-Mail):</w:t>
      </w:r>
    </w:p>
    <w:p>
      <w:pPr>
        <w:jc w:val="left"/>
      </w:pPr>
      <w:r>
        <w:t>"CEO-Zitat ist gut. Bitte aber keinen Verweis auf 'Verbesserungsbedarfe' — das klingt defensiv. Besser: 'proaktive Compliance-Initiative'."</w:t>
      </w:r>
    </w:p>
    <w:p>
      <w:pPr>
        <w:jc w:val="left"/>
      </w:pPr>
      <w:r>
        <w:rPr>
          <w:b/>
        </w:rPr>
        <w:t>Aufsichtsratsvorsitzender Klaus-Dieter Henfling (mündlich, 01.08.2026):</w:t>
      </w:r>
    </w:p>
    <w:p>
      <w:pPr>
        <w:jc w:val="left"/>
      </w:pPr>
      <w:r>
        <w:t>"Pressemitteilung nicht herausgeben, bis BaFin-Entscheid feststeht. Wir müssen die Botschaft kontrollieren."</w:t>
      </w:r>
    </w:p>
    <w:p>
      <w:pPr>
        <w:jc w:val="left"/>
      </w:pPr>
      <w:r>
        <w:rPr>
          <w:b/>
        </w:rPr>
        <w:t>Empfehlung Kanzlei:</w:t>
      </w:r>
      <w:r>
        <w:t xml:space="preserve"> Pressemitteilung erst nach finalem BaFin-Bescheid und nach Abstimmung mit § 60b GwG-Veröffentlichung (falls zutreffend) herausgeben. Im Best-Case-Settlement-Szenario kann die PM zusammen mit der BaFin-Einigung veröffentlicht werden und so die Botschaft aktiv steuern.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Hinweis: Freigabe steht aus; Veröffentlichungszeitpunkt abhängig von BaFin-Entscheid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Hinweis: Freigabe steht aus; Veröffentlichungszeitpunkt abhängig von BaFin-Entscheid</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