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Anwaltlicher Abschlussvermerk</w:t>
      </w:r>
    </w:p>
    <w:p>
      <w:pPr>
        <w:jc w:val="left"/>
      </w:pPr>
      <w:r>
        <w:rPr>
          <w:b/>
        </w:rPr>
        <w:t>Kanzlei:</w:t>
      </w:r>
      <w:r>
        <w:t xml:space="preserve"> Schwertbeck Roosendaal mbB, Frankfurt am Main</w:t>
      </w:r>
    </w:p>
    <w:p>
      <w:pPr>
        <w:jc w:val="left"/>
      </w:pPr>
      <w:r>
        <w:rPr>
          <w:b/>
        </w:rPr>
        <w:t>Aktenzeichen:</w:t>
      </w:r>
      <w:r>
        <w:t xml:space="preserve"> SR-2026-FIN-0612</w:t>
      </w:r>
    </w:p>
    <w:p>
      <w:pPr>
        <w:jc w:val="left"/>
      </w:pPr>
      <w:r>
        <w:rPr>
          <w:b/>
        </w:rPr>
        <w:t>Vermerk-Datum:</w:t>
      </w:r>
      <w:r>
        <w:t xml:space="preserve"> 10. August 2026</w:t>
      </w:r>
    </w:p>
    <w:p>
      <w:pPr>
        <w:jc w:val="left"/>
      </w:pPr>
      <w:r>
        <w:rPr>
          <w:b/>
        </w:rPr>
        <w:t>Verfasser:</w:t>
      </w:r>
      <w:r>
        <w:t xml:space="preserve"> Prof. Dr. Heinrich Schwertbeck</w:t>
      </w:r>
    </w:p>
    <w:p>
      <w:pPr>
        <w:jc w:val="left"/>
      </w:pPr>
      <w:r>
        <w:rPr>
          <w:b/>
        </w:rPr>
        <w:t>Status:</w:t>
      </w:r>
      <w:r>
        <w:t xml:space="preserve"> Zwischenvermerk (finaler Abschluss nach BaFin-Entscheid)</w:t>
      </w:r>
    </w:p>
    <w:p/>
    <w:p>
      <w:pPr>
        <w:pStyle w:val="Heading2"/>
      </w:pPr>
      <w:r>
        <w:rPr>
          <w:rFonts w:ascii="Times New Roman" w:hAnsi="Times New Roman"/>
        </w:rPr>
        <w:t>I. Sachverhaltsübersicht</w:t>
      </w:r>
    </w:p>
    <w:p>
      <w:pPr>
        <w:jc w:val="left"/>
      </w:pPr>
      <w:r>
        <w:t>Die Thalvenia Bank AG, Kryptoverwahrungsunternehmen mit MiCAR-Übergangsstatus, war Gegenstand einer BaFin-Sonderprüfung (Az. VBS 4 1 7-K-22-188/2026), die zwischen April und Juni 2026 in Stuttgart stattfand. Die Prüfung hat schwerwiegende AML-/GwG-Mängel, einen Cybervorfall-Meldungsverzug nach BAIT und potenzielle MAR-Verletzungen im Zusammenhang mit dem Eigenhandel in Token TN aufgedeckt. Parallel laufen ein FIU-Verfahren und ein Strafverfahren gegen den CCO.</w:t>
      </w:r>
    </w:p>
    <w:p>
      <w:pPr>
        <w:jc w:val="left"/>
      </w:pPr>
      <w:r>
        <w:t>Die Kanzlei wurde am 20. März 2026 mandatiert und hat seitdem das Institut im gesamten Prüfungsverfahren begleitet. Die Stellungnahme zur Anhörung wurde am 28. Juli 2026 eingereicht.</w:t>
      </w:r>
    </w:p>
    <w:p/>
    <w:p>
      <w:pPr>
        <w:pStyle w:val="Heading2"/>
      </w:pPr>
      <w:r>
        <w:rPr>
          <w:rFonts w:ascii="Times New Roman" w:hAnsi="Times New Roman"/>
        </w:rPr>
        <w:t>II. Offene rechtliche Fragen und Risiken</w:t>
      </w:r>
    </w:p>
    <w:p>
      <w:pPr>
        <w:pStyle w:val="Heading3"/>
      </w:pPr>
      <w:r>
        <w:rPr>
          <w:rFonts w:ascii="Times New Roman" w:hAnsi="Times New Roman"/>
        </w:rPr>
        <w:t>A. Bußgeldverfahren (höchstes unmittelbares Risiko)</w:t>
      </w:r>
    </w:p>
    <w:p>
      <w:pPr>
        <w:jc w:val="left"/>
      </w:pPr>
      <w:r>
        <w:t>Das Bußgeldverfahren ist der unmittelbarste Risikofaktor. Die Einschätzung der Kanzlei:</w:t>
      </w:r>
    </w:p>
    <w:p>
      <w:pPr>
        <w:pStyle w:val="ListBullet"/>
      </w:pPr>
      <w:r>
        <w:rPr>
          <w:b/>
        </w:rPr>
        <w:t>Wahrscheinlichkeit Bußgeld:</w:t>
      </w:r>
      <w:r>
        <w:t xml:space="preserve"> Sehr hoch (über 90 %)</w:t>
      </w:r>
    </w:p>
    <w:p>
      <w:pPr>
        <w:pStyle w:val="ListBullet"/>
      </w:pPr>
      <w:r>
        <w:rPr>
          <w:b/>
        </w:rPr>
        <w:t>Erwartete Höhe bei Settlement:</w:t>
      </w:r>
      <w:r>
        <w:t xml:space="preserve"> EUR 1,5 Mio.</w:t>
      </w:r>
    </w:p>
    <w:p>
      <w:pPr>
        <w:pStyle w:val="ListBullet"/>
      </w:pPr>
      <w:r>
        <w:rPr>
          <w:b/>
        </w:rPr>
        <w:t>Erwartete Höhe ohne Settlement:</w:t>
      </w:r>
      <w:r>
        <w:t xml:space="preserve"> EUR 3,0-4,5 Mio.</w:t>
      </w:r>
    </w:p>
    <w:p>
      <w:pPr>
        <w:pStyle w:val="ListBullet"/>
      </w:pPr>
      <w:r>
        <w:rPr>
          <w:b/>
        </w:rPr>
        <w:t>Veröffentlichungsrisiko § 60b GwG:</w:t>
      </w:r>
      <w:r>
        <w:t xml:space="preserve"> Mittel (bei Settlement: reduziert)</w:t>
      </w:r>
    </w:p>
    <w:p>
      <w:pPr>
        <w:pStyle w:val="Heading3"/>
      </w:pPr>
      <w:r>
        <w:rPr>
          <w:rFonts w:ascii="Times New Roman" w:hAnsi="Times New Roman"/>
        </w:rPr>
        <w:t>B. MiCAR-CASP-Zulassung (strategisch wichtigstes Risiko)</w:t>
      </w:r>
    </w:p>
    <w:p>
      <w:pPr>
        <w:jc w:val="left"/>
      </w:pPr>
      <w:r>
        <w:t>Die MiCAR-Zulassung ist für das Geschäftsmodell des Instituts existenziell. Ohne CASP-Zulassung kann es nach dem 30. Juni 2026 keine Kryptoverwahrung mehr anbieten. Das Institut operiert derzeit im Grenzbereich des Übergangsregimes.</w:t>
      </w:r>
    </w:p>
    <w:p>
      <w:pPr>
        <w:pStyle w:val="ListBullet"/>
      </w:pPr>
      <w:r>
        <w:rPr>
          <w:b/>
        </w:rPr>
        <w:t>Wahrscheinlichkeit Zulassung bei gutem Settlement:</w:t>
      </w:r>
      <w:r>
        <w:t xml:space="preserve"> Mittel-hoch</w:t>
      </w:r>
    </w:p>
    <w:p>
      <w:pPr>
        <w:pStyle w:val="ListBullet"/>
      </w:pPr>
      <w:r>
        <w:rPr>
          <w:b/>
        </w:rPr>
        <w:t>Wahrscheinlichkeit Zulassung bei gescheitertem Settlement:</w:t>
      </w:r>
      <w:r>
        <w:t xml:space="preserve"> Niedrig-mittel</w:t>
      </w:r>
    </w:p>
    <w:p>
      <w:pPr>
        <w:pStyle w:val="ListBullet"/>
      </w:pPr>
      <w:r>
        <w:rPr>
          <w:b/>
        </w:rPr>
        <w:t>Fallback-Option:</w:t>
      </w:r>
      <w:r>
        <w:t xml:space="preserve"> Notfallplanung für geordnete Übertragung von Kundenvermögen an ein anderes CASP</w:t>
      </w:r>
    </w:p>
    <w:p>
      <w:pPr>
        <w:pStyle w:val="Heading3"/>
      </w:pPr>
      <w:r>
        <w:rPr>
          <w:rFonts w:ascii="Times New Roman" w:hAnsi="Times New Roman"/>
        </w:rPr>
        <w:t>C. MAR-Voruntersuchung Token TN (mittelfristiges Risiko)</w:t>
      </w:r>
    </w:p>
    <w:p>
      <w:pPr>
        <w:jc w:val="left"/>
      </w:pPr>
      <w:r>
        <w:t>Die BaFin-Voruntersuchung kann jederzeit in eine formelle Untersuchung überführt werden. Das Institut hat den Eigenhandel in Token TN eingestellt. Die Kanzlei wird ein externes Marktexpertengutachten beauftragen.</w:t>
      </w:r>
    </w:p>
    <w:p>
      <w:pPr>
        <w:pStyle w:val="ListBullet"/>
      </w:pPr>
      <w:r>
        <w:rPr>
          <w:b/>
        </w:rPr>
        <w:t>Wahrscheinlichkeit formeller Untersuchung:</w:t>
      </w:r>
      <w:r>
        <w:t xml:space="preserve"> Mittel (40 %)</w:t>
      </w:r>
    </w:p>
    <w:p>
      <w:pPr>
        <w:pStyle w:val="ListBullet"/>
      </w:pPr>
      <w:r>
        <w:rPr>
          <w:b/>
        </w:rPr>
        <w:t>Wahrscheinlichkeit Sanktionen bei Untersuchung:</w:t>
      </w:r>
      <w:r>
        <w:t xml:space="preserve"> Niedrig-mittel</w:t>
      </w:r>
    </w:p>
    <w:p>
      <w:pPr>
        <w:pStyle w:val="Heading3"/>
      </w:pPr>
      <w:r>
        <w:rPr>
          <w:rFonts w:ascii="Times New Roman" w:hAnsi="Times New Roman"/>
        </w:rPr>
        <w:t>D. Strafverfahren CCO (personelles und institutionelles Risiko)</w:t>
      </w:r>
    </w:p>
    <w:p>
      <w:pPr>
        <w:jc w:val="left"/>
      </w:pPr>
      <w:r>
        <w:t>Das Strafverfahren gegen Dr. Tannenfels ist vom Institut formal getrennt. Es besteht aber ein institutionelles Reputationsrisiko und die BaFin-Aufsicht könnte die CCO-Besetzung neu bewerten.</w:t>
      </w:r>
    </w:p>
    <w:p>
      <w:pPr>
        <w:pStyle w:val="ListBullet"/>
      </w:pPr>
      <w:r>
        <w:rPr>
          <w:b/>
        </w:rPr>
        <w:t>Empfehlung der Kanzlei:</w:t>
      </w:r>
      <w:r>
        <w:t xml:space="preserve"> Aufsichtsrat sollte über Abberufung und Neubesetzung des CCO-Postens entscheiden, unabhängig vom Ausgang des Strafverfahrens.</w:t>
      </w:r>
    </w:p>
    <w:p/>
    <w:p>
      <w:pPr>
        <w:pStyle w:val="Heading2"/>
      </w:pPr>
      <w:r>
        <w:rPr>
          <w:rFonts w:ascii="Times New Roman" w:hAnsi="Times New Roman"/>
        </w:rPr>
        <w:t>III. Empfehlungen der Kanzlei</w:t>
      </w:r>
    </w:p>
    <w:p>
      <w:pPr>
        <w:pStyle w:val="ListNumber"/>
      </w:pPr>
      <w:r>
        <w:rPr>
          <w:b/>
        </w:rPr>
        <w:t>Settlement beschleunigen:</w:t>
      </w:r>
      <w:r>
        <w:t xml:space="preserve"> Bilateral-Gespräch mit BaFin muss bis Ende August 2026 geführt werden; Settlement-Angebot bis 15. September 2026 einreichen.</w:t>
      </w:r>
    </w:p>
    <w:p>
      <w:pPr>
        <w:pStyle w:val="ListNumber"/>
      </w:pPr>
      <w:r>
        <w:rPr>
          <w:b/>
        </w:rPr>
        <w:t>KPMG-Mandat bestätigen:</w:t>
      </w:r>
      <w:r>
        <w:t xml:space="preserve"> Die externe AML-Prüfung durch KPMG ist entscheidend für die Glaubwürdigkeit der Remediation gegenüber der BaFin.</w:t>
      </w:r>
    </w:p>
    <w:p>
      <w:pPr>
        <w:pStyle w:val="ListNumber"/>
      </w:pPr>
      <w:r>
        <w:rPr>
          <w:b/>
        </w:rPr>
        <w:t>CCO-Nachfolge regeln:</w:t>
      </w:r>
      <w:r>
        <w:t xml:space="preserve"> Neubesetzung des CCO-Postens mit einem ausgewiesenen GwG/MiCAR-Experten ohne strafrechtliche Vorbelastung.</w:t>
      </w:r>
    </w:p>
    <w:p>
      <w:pPr>
        <w:pStyle w:val="ListNumber"/>
      </w:pPr>
      <w:r>
        <w:rPr>
          <w:b/>
        </w:rPr>
        <w:t>MiCAR-Projektteam verstärken:</w:t>
      </w:r>
      <w:r>
        <w:t xml:space="preserve"> Die drei ausstehenden Token-White-Papers und die TFR-Compliance müssen bis 31. Oktober 2026 abgeschlossen sein.</w:t>
      </w:r>
    </w:p>
    <w:p>
      <w:pPr>
        <w:pStyle w:val="ListNumber"/>
      </w:pPr>
      <w:r>
        <w:rPr>
          <w:b/>
        </w:rPr>
        <w:t>Pressestrategie finalisieren:</w:t>
      </w:r>
      <w:r>
        <w:t xml:space="preserve"> Pressemitteilung muss synchron mit BaFin-Entscheid vorbereitet sein; proaktive Kommunikation gegenüber Kernkunden (Top 10 nach AuM) durch CEO empfohlen.</w:t>
      </w:r>
    </w:p>
    <w:p/>
    <w:p>
      <w:pPr>
        <w:pStyle w:val="Heading2"/>
      </w:pPr>
      <w:r>
        <w:rPr>
          <w:rFonts w:ascii="Times New Roman" w:hAnsi="Times New Roman"/>
        </w:rPr>
        <w:t>IV. Gebührenprognose</w:t>
      </w:r>
    </w:p>
    <w:p>
      <w:pPr>
        <w:jc w:val="left"/>
      </w:pPr>
      <w:r>
        <w:t>Geleistete Stunden bis 10. August 2026: rd. 380 Stunden (rd. EUR 187.000 zzgl. MwSt.)</w:t>
      </w:r>
    </w:p>
    <w:p>
      <w:pPr>
        <w:jc w:val="left"/>
      </w:pPr>
      <w:r>
        <w:t>Erwartete weitere Stunden bis Mandatsabschluss (inkl. Settlement-Verhandlung): rd. 150 Stunden (rd. EUR 75.000 zzgl. MwSt.)</w:t>
      </w:r>
    </w:p>
    <w:p>
      <w:pPr>
        <w:jc w:val="left"/>
      </w:pPr>
      <w:r>
        <w:t>Gesamthonorar geschätzt: EUR 262.000 bis EUR 310.000 zzgl. MwSt.</w:t>
      </w:r>
    </w:p>
    <w:p/>
    <w:p>
      <w:pPr>
        <w:jc w:val="left"/>
      </w:pPr>
      <w:r>
        <w:rPr>
          <w:b/>
        </w:rPr>
        <w:t>Frankfurt am Main, 10. August 2026</w:t>
      </w:r>
    </w:p>
    <w:p>
      <w:pPr>
        <w:jc w:val="left"/>
      </w:pPr>
      <w:r>
        <w:t>Prof. Dr. Heinrich Schwertbeck</w:t>
      </w:r>
    </w:p>
    <w:p>
      <w:pPr>
        <w:jc w:val="left"/>
      </w:pPr>
      <w:r>
        <w:t>Rechtsanwalt, Bankaufsichtsrecht</w:t>
      </w:r>
    </w:p>
    <w:p>
      <w:pPr>
        <w:jc w:val="left"/>
      </w:pPr>
      <w:r>
        <w:t>Schwertbeck Roosendaal mbB</w:t>
      </w:r>
    </w:p>
    <w:p>
      <w:pPr>
        <w:jc w:val="left"/>
      </w:pPr>
      <w:r>
        <w:t>Mainzer Landstraße 172</w:t>
      </w:r>
    </w:p>
    <w:p>
      <w:pPr>
        <w:jc w:val="left"/>
      </w:pPr>
      <w:r>
        <w:t>60327 Frankfurt am Main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Schwertbeck Roosendaal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SCHWERTBECK ROOSENDAAL MBB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Frankfurt am Main · Aktenzeichen: SR-2026-FIN-0612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