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Anwaltliches Memo — Entwurf</w:t>
      </w:r>
    </w:p>
    <w:p>
      <w:pPr>
        <w:pStyle w:val="Heading2"/>
      </w:pPr>
      <w:r>
        <w:rPr>
          <w:rFonts w:ascii="Times New Roman" w:hAnsi="Times New Roman"/>
        </w:rPr>
        <w:t>Ergebnis in Kürze</w:t>
      </w:r>
    </w:p>
    <w:p>
      <w:pPr>
        <w:jc w:val="left"/>
      </w:pPr>
      <w:r>
        <w:t>Das Projekt ist nicht offensichtlich unmöglich, aber in der jetzigen Aktenlage nicht bankfähig und nicht einreichungsreif. Der kritische Pfad liegt nicht nur beim Netzanschluss, sondern bei Bauleitplanung, Brandschutz/Havarie, Cyber-/KRITIS-Scope, Notstromkonzept, Erlösmodell und Kommunikation zur Systemfunktion.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Netzanschlussdokumente vollständig anfordern.</w:t>
      </w:r>
    </w:p>
    <w:p>
      <w:pPr>
        <w:pStyle w:val="ListNumber"/>
      </w:pPr>
      <w:r>
        <w:t>Bauleitplanungsfahrplan mit Gemeinde und Bauaufsicht schriftlich fixieren.</w:t>
      </w:r>
    </w:p>
    <w:p>
      <w:pPr>
        <w:pStyle w:val="ListNumber"/>
      </w:pPr>
      <w:r>
        <w:t>Brandschutz-Workshop mit Feuerwehr, Hersteller, Versicherer und Owner's Engineer.</w:t>
      </w:r>
    </w:p>
    <w:p>
      <w:pPr>
        <w:pStyle w:val="ListNumber"/>
      </w:pPr>
      <w:r>
        <w:t>Cyber-/OT-Architektur als Anlage zum Bank-DD-Paket.</w:t>
      </w:r>
    </w:p>
    <w:p>
      <w:pPr>
        <w:pStyle w:val="ListNumber"/>
      </w:pPr>
      <w:r>
        <w:t>Kommunikationsunterlagen juristisch redlinen: keine Grundlast- oder Drei-Tage-Alleinversorgung behaupten.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Bauleitplanungsfahrplan mit Gemeinde und Bauaufsicht schriftlich fixieren.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Bauleitplanungsfahrplan mit Gemeinde und Bauaufsicht schriftlich fixieren.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