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Feuerwehr-Workshop — Protokollauszug</w:t>
      </w:r>
    </w:p>
    <w:p>
      <w:pPr>
        <w:jc w:val="left"/>
      </w:pPr>
      <w:r>
        <w:rPr>
          <w:b/>
        </w:rPr>
        <w:t>Teilnehmer:</w:t>
      </w:r>
      <w:r>
        <w:t xml:space="preserve"> Kreisbrandmeister, Gemeindefeuerwehr, Bauaufsicht, Hersteller, Owner's Engineer, Projektgesellschaft, Versicherer.</w:t>
      </w:r>
    </w:p>
    <w:p>
      <w:pPr>
        <w:pStyle w:val="Heading2"/>
      </w:pPr>
      <w:r>
        <w:rPr>
          <w:rFonts w:ascii="Times New Roman" w:hAnsi="Times New Roman"/>
        </w:rPr>
        <w:t>Gesicherte Punkte</w:t>
      </w:r>
    </w:p>
    <w:p>
      <w:pPr>
        <w:pStyle w:val="ListBullet"/>
      </w:pPr>
      <w:r>
        <w:t>Feuerwehr benötigt vollständige Zufahrt um alle Containerblöcke, nicht nur eine Hauptachse.</w:t>
      </w:r>
    </w:p>
    <w:p>
      <w:pPr>
        <w:pStyle w:val="ListBullet"/>
      </w:pPr>
      <w:r>
        <w:t>Löschwasser muss vor Ort verfügbar sein; der Dorfteich ist nicht akzeptabel.</w:t>
      </w:r>
    </w:p>
    <w:p>
      <w:pPr>
        <w:pStyle w:val="ListBullet"/>
      </w:pPr>
      <w:r>
        <w:t>Einsatzkräfte verlangen Containerkennzeichnung, Abschaltplan, Gaswarnkonzept und Notfallkontakte.</w:t>
      </w:r>
    </w:p>
    <w:p>
      <w:pPr>
        <w:pStyle w:val="ListBullet"/>
      </w:pPr>
      <w:r>
        <w:t>Beschädigte Module müssen auf einer Quarantänefläche abgestellt werden können.</w:t>
      </w:r>
    </w:p>
    <w:p>
      <w:pPr>
        <w:pStyle w:val="Heading2"/>
      </w:pPr>
      <w:r>
        <w:rPr>
          <w:rFonts w:ascii="Times New Roman" w:hAnsi="Times New Roman"/>
        </w:rPr>
        <w:t>Streitpunkte</w:t>
      </w:r>
    </w:p>
    <w:p>
      <w:pPr>
        <w:pStyle w:val="ListNumber"/>
      </w:pPr>
      <w:r>
        <w:t>Hersteller sagt, Löschen sei im Regelfall nicht erforderlich, sondern kontrolliertes Ausbrennen. Feuerwehr will das nicht als alleinige Einsatzstrategie akzeptieren.</w:t>
      </w:r>
    </w:p>
    <w:p>
      <w:pPr>
        <w:pStyle w:val="ListNumber"/>
      </w:pPr>
      <w:r>
        <w:t>Versicherer fordert Abstand zwischen Blöcken, der im Layoutplan noch nicht vorgesehen ist.</w:t>
      </w:r>
    </w:p>
    <w:p>
      <w:pPr>
        <w:pStyle w:val="ListNumber"/>
      </w:pPr>
      <w:r>
        <w:t>Bauaufsicht fragt, ob der Betreiber ein Sonderbau-Sicherheitskonzept schuldet.</w:t>
      </w:r>
    </w:p>
    <w:p>
      <w:pPr>
        <w:pStyle w:val="ListNumber"/>
      </w:pPr>
      <w:r>
        <w:t>Projektleitung möchte das Thema nach EPC verschieben. Feuerwehr widerspricht: ohne Sicherheitskonzept keine belastbare Bauantragslage.</w:t>
      </w:r>
    </w:p>
    <w:p>
      <w:pPr>
        <w:pStyle w:val="Heading2"/>
      </w:pPr>
      <w:r>
        <w:rPr>
          <w:rFonts w:ascii="Times New Roman" w:hAnsi="Times New Roman"/>
        </w:rPr>
        <w:t>Nachforderungen</w:t>
      </w:r>
    </w:p>
    <w:p>
      <w:pPr>
        <w:pStyle w:val="ListBullet"/>
      </w:pPr>
      <w:r>
        <w:t>Brandlast- und Havarieberechnung.</w:t>
      </w:r>
    </w:p>
    <w:p>
      <w:pPr>
        <w:pStyle w:val="ListBullet"/>
      </w:pPr>
      <w:r>
        <w:t>Löschwasserrückhaltung.</w:t>
      </w:r>
    </w:p>
    <w:p>
      <w:pPr>
        <w:pStyle w:val="ListBullet"/>
      </w:pPr>
      <w:r>
        <w:t>Einsatzplan im Maßstab 1:500.</w:t>
      </w:r>
    </w:p>
    <w:p>
      <w:pPr>
        <w:pStyle w:val="ListBullet"/>
      </w:pPr>
      <w:r>
        <w:t>Kontaktdaten Leitwarte und Remote-OEM.</w:t>
      </w:r>
    </w:p>
    <w:p>
      <w:pPr>
        <w:pStyle w:val="ListBullet"/>
      </w:pPr>
      <w:r>
        <w:t>Nachweis, dass Feuerwehrfunk und Mobilfunk auf dem Gelände funktionieren.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Teilnehmer: Kreisbrandmeister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Teilnehmer: Kreisbrandmeister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Gemeindefeuerwehr, Bauaufsicht, Hersteller, Owner's Engineer, Projektgesellschaft, Versicherer.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