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Vorschau: Bilanzielle_Auswirkungen_HGB_IFRS</w:t>
      </w:r>
    </w:p>
    <w:p>
      <w:pPr>
        <w:ind w:left="567"/>
      </w:pPr>
      <w:r>
        <w:rPr>
          <w:i/>
        </w:rPr>
        <w:t>Markdown-Vorschau der gleichnamigen XLSX-Datei. Berechnungen, Formeln und Formatierung nur im Original.</w:t>
      </w:r>
    </w:p>
    <w:p>
      <w:pPr>
        <w:pStyle w:val="Heading2"/>
      </w:pPr>
      <w:r>
        <w:rPr>
          <w:rFonts w:ascii="Times New Roman" w:hAnsi="Times New Roman"/>
        </w:rPr>
        <w:t>Sheet: Deckblatt</w:t>
      </w:r>
    </w:p>
    <w:p>
      <w:pPr>
        <w:pStyle w:val="Heading3"/>
      </w:pPr>
      <w:r>
        <w:rPr>
          <w:rFonts w:ascii="Times New Roman" w:hAnsi="Times New Roman"/>
        </w:rPr>
        <w:t>MEISSNER RHEINWERK AG</w:t>
      </w:r>
    </w:p>
    <w:p>
      <w:pPr>
        <w:jc w:val="left"/>
      </w:pPr>
      <w:r>
        <w:t>_Bilanzielle Auswirkungen betriebliche Altersversorgung_</w:t>
      </w:r>
    </w:p>
    <w:p>
      <w:pPr>
        <w:jc w:val="left"/>
      </w:pPr>
      <w:r>
        <w:t>_HGB \| IFRS (IAS 19) \| Steuerrecht (§ 6a EStG)_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Projekt: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RHEINGOLD 2030</w:t>
            </w:r>
          </w:p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Mandant: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MEISSNER RHEINWERK AG, Rheinwerkallee 1, 40589 Düsseldorf-Reisholz</w:t>
            </w:r>
          </w:p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Aktenzeichen: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TY-2026-RHEINGOLD-001</w:t>
            </w:r>
          </w:p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Erstellt durch: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Friederike Albrecht-Niermann (Counsel IAS 19 / Bilanzrecht)</w:t>
            </w:r>
          </w:p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Datum: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20. April 2026</w:t>
            </w:r>
          </w:p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Stand Daten: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31.12.2024 (IAS 19 Rollforward); Aktuariat: Dr. Hellmrich-Vogt</w:t>
            </w:r>
          </w:p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Vertraulichkeit: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VERTRAULICH – nur für MEISSNER RHEINWERK AG und Treuenfels Yamamoto</w:t>
            </w:r>
          </w:p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Tabs: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1. Deckblatt \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2. IAS-19-Rollforward \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3. HGB-Rückstellung \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4. Steuerrecht § 6a EStG \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5. Sensitivitätsanalyse \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6. Meilensteine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Sheet: IAS-19-Rollforward</w:t>
      </w:r>
    </w:p>
    <w:p>
      <w:pPr>
        <w:pStyle w:val="Heading3"/>
      </w:pPr>
      <w:r>
        <w:rPr>
          <w:rFonts w:ascii="Times New Roman" w:hAnsi="Times New Roman"/>
        </w:rPr>
        <w:t>IAS 19 – DBO Rollforward Deutschland (in TEUR)</w:t>
      </w:r>
    </w:p>
    <w:p>
      <w:pPr>
        <w:jc w:val="left"/>
      </w:pPr>
      <w:r>
        <w:t>_Geschäftsjahr 2024 \| Diskontierungszins: 3,70 % p.a. \| Sterbetafel: DAV 2004R_</w:t>
      </w:r>
    </w:p>
    <w:p>
      <w:pPr>
        <w:jc w:val="left"/>
      </w:pPr>
      <w:r>
        <w:t>_(Alle Angaben in TEUR; Quellen: IAS-19-Gutachten Hellmrich-Vogt Aktuarpartner GmbH, 15.02.2025)_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GJ 2024 (TEUR)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GJ 2023 (TEUR)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Δ TEUR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DBO Anfangsbestand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2.258.000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2.410.000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-152.000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Current Service Cost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48.000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51.000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-3.000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Interest Cost (3,70 % / 3,85 %)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84.000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92.000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-8.000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Actuarial (Gains)/Losses – Zinsänderungen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145.000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-198.000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343.000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Actuarial (Gains)/Losses – demografisch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12.000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-15.000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27.000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Benefit payments (Rentenzahlungen)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-147.000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-82.000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-65.000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DBO Endbestand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2.400.000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2.258.000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142.000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PLAN ASSETS (CTA – Rheinland Trust e.V.)</w:t>
            </w:r>
          </w:p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Fair Value Plan Assets Anfangsbestand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-714.000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-688.000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-26.000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Erwarteter Ertrag (4,2 % p.a.)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-30.000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-28.000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-2.000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Actuarial Gains auf Plan Assets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-10.000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-8.000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-2.000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Arbeitgeberbeiträge CTA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-34.000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-10.000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-24.000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Benefit payments aus CTA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8.000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20.000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-12.000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Fair Value Plan Assets Endbestand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-780.000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-714.000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-66.000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NETTO-PENSIONSRÜCKSTELLUNG (IFRS)</w:t>
            </w:r>
          </w:p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DBO Endbestand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2.400.000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2.258.000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142.000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Fair Value Plan Assets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-780.000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-714.000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-66.000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Netto-Pensionsrückstellung IFRS (Bilanzposten)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1.620.000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1.544.000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76.000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IN OCI ERFASSTE BETRÄGE (GJ 2024)</w:t>
            </w:r>
          </w:p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Actuarial Losses/(Gains) – kumuliert Anfang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312.000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510.000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-198.000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Actuarial Losses 2024 (Zinsänderung)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145.000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-198.000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343.000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Actuarial Losses 2024 (demografisch)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12.000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-15.000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27.000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Kumulierte Actuarial Losses Endbestand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469.000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312.000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157.000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Sheet: HGB-Rückstellung</w:t>
      </w:r>
    </w:p>
    <w:p>
      <w:pPr>
        <w:pStyle w:val="Heading3"/>
      </w:pPr>
      <w:r>
        <w:rPr>
          <w:rFonts w:ascii="Times New Roman" w:hAnsi="Times New Roman"/>
        </w:rPr>
        <w:t>HGB-Pensionsrückstellung (§ 249 HGB, § 253 HGB) – in TEUR</w:t>
      </w:r>
    </w:p>
    <w:p>
      <w:pPr>
        <w:jc w:val="left"/>
      </w:pPr>
      <w:r>
        <w:t>_Rechnungszins (§ 253 Abs. 2 HGB): 10-Jahres-Durchschnitt Bundesbank \| Stand: 31.12.2024_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GJ 2024 (TEUR)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GJ 2023 (TEUR)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Δ TEUR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Rechnungszins HGB (10J Durchschnitt Bundesbank)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1,79 %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1,76 %</w:t>
            </w:r>
          </w:p>
        </w:tc>
        <w:tc>
          <w:tcPr>
            <w:tcW w:type="dxa" w:w="2268"/>
          </w:tcPr>
          <w:p/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Rechnungszins HGB (7J Durchschnitt)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2,35 %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2,28 %</w:t>
            </w:r>
          </w:p>
        </w:tc>
        <w:tc>
          <w:tcPr>
            <w:tcW w:type="dxa" w:w="2268"/>
          </w:tcPr>
          <w:p/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Direktzusagen (K-VO-1, K-VO-3, FK-Zusagen)</w:t>
            </w:r>
          </w:p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Barwert der Verpflichtungen (BW)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1.540.000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1.498.000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42.000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Zeitwert des Planvermögens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Netto-Rückstellung Direktzusagen HGB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1.540.000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1.498.000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42.000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Unterstützungskasse K-VO-2 (§ 249 HGB i.V.m. § 4d EStG)</w:t>
            </w:r>
          </w:p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Steuerliches Deckungskapital (Basis § 4d)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380.000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362.000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18.000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HGB-Rückstellung UK (Passivierungswahlrecht entfällt)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380.000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362.000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18.000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GESAMT HGB-PENSIONSRÜCKSTELLUNGEN</w:t>
            </w:r>
          </w:p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Direktzusagen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1.540.000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1.498.000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42.000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Unterstützungskasse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380.000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362.000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18.000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Pensionsfonds K-VO-5 (nur Fehlbetrag)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18.000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16.000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2.000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Gesamtrückstellung HGB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1.938.000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1.876.000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62.000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DIFFERENZ HGB vs. IFRS (Netto)</w:t>
            </w:r>
          </w:p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IFRS Netto-Pensionsrückstellung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1.620.000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1.544.000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76.000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HGB Gesamtrückstellung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1.938.000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1.876.000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62.000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Differenz IFRS &lt; HGB (HGB konservativer)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-318.000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-332.000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14.000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Latenter Steueranspruch darauf (30 % KSt/GewSt)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95.400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99.600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-4.200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Sheet: § 6a EStG Steuerrückstellung</w:t>
      </w:r>
    </w:p>
    <w:p>
      <w:pPr>
        <w:pStyle w:val="Heading3"/>
      </w:pPr>
      <w:r>
        <w:rPr>
          <w:rFonts w:ascii="Times New Roman" w:hAnsi="Times New Roman"/>
        </w:rPr>
        <w:t>Steuerliche Pensionsrückstellung § 6a EStG – in TEUR</w:t>
      </w:r>
    </w:p>
    <w:p>
      <w:pPr>
        <w:jc w:val="left"/>
      </w:pPr>
      <w:r>
        <w:t>_Zinsfuß § 6a Abs. 3 EStG: 6,00 % p.a. (gesetzlich fest) \| Sterbetafel: DAV 2004R_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GJ 2024 (TEUR)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GJ 2023 (TEUR)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Δ TEUR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TEILWERT DER VERPFLICHTUNGEN (§ 6a Abs. 3 EStG)</w:t>
            </w:r>
          </w:p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K-VO-1 Direktzusagen (Zinsfuß 6 %)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358.000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350.000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8.000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K-VO-2 (steuerlich: Direktzusage, soweit anerkannt)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486.000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475.000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11.000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K-VO-3 Chemie-Nord (soweit steuerlich anzuerkennen)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198.000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192.000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6.000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Sonderzusagen FK-001-047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58.000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55.000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3.000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Gesamt Teilwert § 6a EStG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1.100.000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1.072.000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28.000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UNTERSCHIED § 6a EStG vs. IFRS (IAS 19)</w:t>
            </w:r>
          </w:p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Steuerliche Rückstellung (Teilwert, 6 %)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1.100.000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1.072.000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28.000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IFRS-DBO Deutschland (3,70 %)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2.400.000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2.258.000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142.000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Differenz (IFRS &gt; Steuer, wegen niedrigerem Zins)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1.300.000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1.186.000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114.000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STEUERLICHE ABZUGSFÄHIGKEIT (§ 4e EStG Pensionsfonds)</w:t>
            </w:r>
          </w:p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Beiträge Pensionsfonds K-VO-5 (steuerlich)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42.000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39.000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3.000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§ 4e-Abzug im laufenden Jahr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42.000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39.000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3.000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STEUERWIRKUNG BUYOUT (SZENARIOANALYSE)</w:t>
            </w:r>
          </w:p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IFRS-DBO Rentner-Segment (Buyout-Kandidaten)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780.000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n/a</w:t>
            </w:r>
          </w:p>
        </w:tc>
        <w:tc>
          <w:tcPr>
            <w:tcW w:type="dxa" w:w="2268"/>
          </w:tcPr>
          <w:p/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§ 6a-Rückstellung Rentner-Segment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340.000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n/a</w:t>
            </w:r>
          </w:p>
        </w:tc>
        <w:tc>
          <w:tcPr>
            <w:tcW w:type="dxa" w:w="2268"/>
          </w:tcPr>
          <w:p/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Auflösungsgewinn bei Buyout (steuerpflichtig)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340.000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n/a</w:t>
            </w:r>
          </w:p>
        </w:tc>
        <w:tc>
          <w:tcPr>
            <w:tcW w:type="dxa" w:w="2268"/>
          </w:tcPr>
          <w:p/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KSt/SolZ/GewSt-Belastung (ca. 30 %)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102.000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n/a</w:t>
            </w:r>
          </w:p>
        </w:tc>
        <w:tc>
          <w:tcPr>
            <w:tcW w:type="dxa" w:w="2268"/>
          </w:tcPr>
          <w:p/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Netto-Steuerbelastung Buyout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102.000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n/a</w:t>
            </w:r>
          </w:p>
        </w:tc>
        <w:tc>
          <w:tcPr>
            <w:tcW w:type="dxa" w:w="2268"/>
          </w:tcPr>
          <w:p/>
        </w:tc>
      </w:tr>
    </w:tbl>
    <w:p>
      <w:pPr>
        <w:pStyle w:val="Heading2"/>
      </w:pPr>
      <w:r>
        <w:rPr>
          <w:rFonts w:ascii="Times New Roman" w:hAnsi="Times New Roman"/>
        </w:rPr>
        <w:t>Sheet: Sensitivitätsanalyse</w:t>
      </w:r>
    </w:p>
    <w:p>
      <w:pPr>
        <w:pStyle w:val="Heading3"/>
      </w:pPr>
      <w:r>
        <w:rPr>
          <w:rFonts w:ascii="Times New Roman" w:hAnsi="Times New Roman"/>
        </w:rPr>
        <w:t>IAS 19 Sensitivitätsanalyse – DBO Deutschland (in TEUR)</w:t>
      </w:r>
    </w:p>
    <w:p>
      <w:pPr>
        <w:jc w:val="left"/>
      </w:pPr>
      <w:r>
        <w:t>_Basis: DBO 31.12.2024 = EUR 2.400.000 TEUR \| Aktuariat: Dr. Hellmrich-Vogt Aktuarpartner GmbH_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Parameter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-200 BP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-100 BP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Basis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+100 BP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+200 BP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Diskontierungszins (aktuell 3,70 %)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3.150.000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2.780.000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2.400.000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2.080.000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1.820.000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Lohnentwicklung (aktuell 2,5 % p.a.)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2.260.000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2.320.000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2.400.000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2.490.000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2.580.000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Rentenentwicklung (aktuell 1,5 % p.a.)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2.220.000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2.310.000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2.400.000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2.500.000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2.610.000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Lebenserwartung +1 Jahr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–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–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2.400.000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2.510.000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–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Hinweis: Sensitivitäten zeigen ceteris-paribus-Wirkungen auf die DBO.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Diskontierungszins-Entwicklung (Basis EUR-Unternehmensanleihen AA)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Jahr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Zins (%)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DBO DE (TEUR)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Net Liability (TEUR)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201900 %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1.2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2.891.000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2.177.000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202000 %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0.8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3.150.000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2.390.000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202100 %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1.05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2.980.000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2.250.000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202200 %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3.85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2.180.000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1.580.000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202300 %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3.85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2.258.000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1.544.000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202400 %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3.7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2.400.000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1.620.000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</w:tr>
    </w:tbl>
    <w:p>
      <w:pPr>
        <w:pStyle w:val="Heading2"/>
      </w:pPr>
      <w:r>
        <w:rPr>
          <w:rFonts w:ascii="Times New Roman" w:hAnsi="Times New Roman"/>
        </w:rPr>
        <w:t>Sheet: Meilensteine RHEINGOLD 2030</w:t>
      </w:r>
    </w:p>
    <w:p>
      <w:pPr>
        <w:pStyle w:val="Heading3"/>
      </w:pPr>
      <w:r>
        <w:rPr>
          <w:rFonts w:ascii="Times New Roman" w:hAnsi="Times New Roman"/>
        </w:rPr>
        <w:t>Projektmeilensteine – RHEINGOLD 2030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Meilenstein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Verantwortlich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Aktenzeichen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Mandatsanfrage / Kick-off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14.01.2026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Brindeau-Lorbach / Sompeh-Ostermann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✔ Erledigt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TY-2026-RHEINGOLD-001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Engagement Letter unterzeichnet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14.01.2026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Sompeh-Ostermann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✔ Erledigt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TY-2026-RHEINGOLD-001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Bestandsaufnahme Gutachten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28.01.2026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Sompeh-Ostermann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✔ Erledigt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TY-2026-RHEINGOLD-001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Strategiepapier V1.0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10.02.2026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Sompeh-Ostermann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✔ Erledigt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TY-2026-RHEINGOLD-001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Memo CTA-Strukturierung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10.03.2026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Sompeh-Ostermann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✔ Erledigt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TY-2026-RHEINGOLD-001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BR-Anhörung (formal)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01.03.2026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Pfaffenhausen-Quasthoff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✔ Erledigt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ArbG DUS 7 BV 412/26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1. Einigungsstellensitzung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15.03.2026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Wupperhain-Stein (Vors.)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✔ Erledigt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ArbG DUS 7 BV 412/26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2. Einigungsstellensitzung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08.04.2026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Wupperhain-Stein (Vors.)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✔ Erledigt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ArbG DUS 7 BV 412/26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PSVaG Vorbehaltszahlung EUR 2.777.060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08.04.2026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Engelhart-Volz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✔ Erledigt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PSVaG 2026/A-RW-008842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Buyout Indikativangebot Hanseatica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18.03.2026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Beerbohm-Sittler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✔ Erledigt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TY-2026-RHEINGOLD-001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Memo Pension Buyout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25.03.2026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Beerbohm-Sittler / Sompeh-Ostermann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✔ Erledigt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TY-2026-RHEINGOLD-001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Memo DB→DC-Transition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01.04.2026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Engelhart-Volz / Albrecht-Niermann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✔ Erledigt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TY-2026-RHEINGOLD-001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BaFin-Rückfragen beantwortet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30.04.2026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Yamamoto-Brennecke (Kyoto)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⏳ In Bearbeitung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VA 31-Q 5232-2026/0014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3. Einigungsstellensitzung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30.04.2026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Wupperhain-Stein (Vors.)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⏳ In Bearbeitung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LAG DUS 14 TaBV 88/26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BV Future Service Stopp unterzeichnet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30.09.2026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Brindeau-Lorbach / GBR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⏻ Ausstehend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ArbG DUS 7 BV 412/26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Buyout-Vertrag Hanseatica (Financial Close)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31.12.2026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Beerbohm-Sittler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⏻ Ausstehend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TY-2026-RHEINGOLD-001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Future Service Stopp in Kraft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01.01.2027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Vorstand / GBR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⏻ Ausstehend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TY-2026-RHEINGOLD-001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CTA-Aufstockung Tranche 1 (EUR 160 Mio.)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30.06.2026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Otterbach-Veltheim / CTA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⏻ Ausstehend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TY-2026-RHEINGOLD-001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Abschluss Projekt RHEINGOLD 2030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31.12.2030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Sompeh-Ostermann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⏻ Ausstehend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TY-2026-RHEINGOLD-001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MEISSNER RHEINWERK AG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MEISSNER RHEINWERK AG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Unternehmen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