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Hauptschriftsatz Beförderungskaskade Landesamt Weserbrücke</w:t>
      </w:r>
    </w:p>
    <w:p>
      <w:pPr>
        <w:pStyle w:val="Heading2"/>
      </w:pPr>
      <w:r>
        <w:rPr>
          <w:rFonts w:ascii="Times New Roman" w:hAnsi="Times New Roman"/>
        </w:rPr>
        <w:t>Kernthese</w:t>
      </w:r>
    </w:p>
    <w:p>
      <w:pPr>
        <w:jc w:val="left"/>
      </w:pPr>
      <w:r>
        <w:t>Die Behördenleitung hat ihre Organisationsgewalt möglicherweise genutzt, um ein Bewerberfeld so zu verändern, dass eine bevorzugte Kandidatin auf eine A15-Stelle rücken konnte. Der Fall ist heikel, weil Organisationsentscheidungen grundsätzlich weitgehend dem Dienstherrn überlassen sind. Gerade deshalb muss genau geprüft werden, ob die Organisationsakte eine eigenständige sachliche Begründung trägt.</w:t>
      </w:r>
    </w:p>
    <w:p>
      <w:pPr>
        <w:pStyle w:val="Heading2"/>
      </w:pPr>
      <w:r>
        <w:rPr>
          <w:rFonts w:ascii="Times New Roman" w:hAnsi="Times New Roman"/>
        </w:rPr>
        <w:t>Sachverhalt</w:t>
      </w:r>
    </w:p>
    <w:p>
      <w:pPr>
        <w:jc w:val="left"/>
      </w:pPr>
      <w:r>
        <w:t>Im Februar und März 2026 wurden mehrere erfahrene Sachgebietsleitungen auf neu geschaffene Koordinierungsstellen umgesetzt. Kurz danach wurde die Leitung „Strategische Wasserverfahren“ ausgeschrieben. Ausgerechnet die Personen mit stärkeren Beurteilungen waren nun nicht mehr im unmittelbaren Bewerberfeld oder wurden als „anderweitig gebunden“ beschrieben. Die bevorzugte Kandidatin Livia Dornbach wurde im Auswahlvermerk mit besonderer Passung zur neuen Behördenstrategie bewertet.</w:t>
      </w:r>
    </w:p>
    <w:p>
      <w:pPr>
        <w:pStyle w:val="Heading2"/>
      </w:pPr>
      <w:r>
        <w:rPr>
          <w:rFonts w:ascii="Times New Roman" w:hAnsi="Times New Roman"/>
        </w:rPr>
        <w:t>Rechtliche Würdigung</w:t>
      </w:r>
    </w:p>
    <w:p>
      <w:pPr>
        <w:jc w:val="left"/>
      </w:pPr>
      <w:r>
        <w:t>Der Dienstherr darf Dienstposten zuschneiden, Organisationseinheiten verändern und Personalentwicklung betreiben. Er darf aber nicht den Leistungsgrundsatz umgehen. Wenn organisatorische Vorentscheidungen erkennbar auf eine spätere Auswahlentscheidung zulaufen, muss der Dienstherr die Sachgründe besonders klar dokumentieren. Eine spätere Auswahl nach Art. 33 Abs. 2 GG kann nicht dadurch entwertet werden, dass die stärksten Konkurrenten vorher aus dem Feld bewegt werden.</w:t>
      </w:r>
    </w:p>
    <w:p>
      <w:pPr>
        <w:pStyle w:val="Heading2"/>
      </w:pPr>
      <w:r>
        <w:rPr>
          <w:rFonts w:ascii="Times New Roman" w:hAnsi="Times New Roman"/>
        </w:rPr>
        <w:t>Beweis- und Indizienlage</w:t>
      </w:r>
    </w:p>
    <w:p>
      <w:pPr>
        <w:jc w:val="left"/>
      </w:pPr>
      <w:r>
        <w:t>Es gibt keine einzelne rauchende Pistole. Es gibt aber eine Kette: zeitliche Nähe, interne E-Mail mit dem Begriff „Fenster“, Personalratsrückfragen, fehlende gemeinsame Beratung von Rotation und Ausschreibung, sowie eine Auswahlmatrix, die „Passung“ höher gewichtet als die dokumentierte Leistung. Diese Kette reicht jedenfalls, um vollständige Akteneinsicht und eine gerichtliche Prüfung der Organisationsbegründung zu verlangen.</w:t>
      </w:r>
    </w:p>
    <w:p>
      <w:pPr>
        <w:pStyle w:val="Heading2"/>
      </w:pPr>
      <w:r>
        <w:rPr>
          <w:rFonts w:ascii="Times New Roman" w:hAnsi="Times New Roman"/>
        </w:rPr>
        <w:t>Taktik</w:t>
      </w:r>
    </w:p>
    <w:p>
      <w:pPr>
        <w:jc w:val="left"/>
      </w:pPr>
      <w:r>
        <w:t>Der Schriftsatz sollte nicht behaupten, die Behördenleitung habe rechtswidrig manipuliert, wenn dies nicht beweisbar ist. Besser ist: Die Organisationsentscheidungen sind nicht hinreichend dokumentiert und haben eine leistungsrechtlich erhebliche Vorwirkung. Daraus folgt ein Anspruch auf Offenlegung und erneute Entscheidung.</w:t>
      </w:r>
    </w:p>
    <w:p>
      <w:pPr>
        <w:pStyle w:val="Heading2"/>
      </w:pPr>
      <w:r>
        <w:rPr>
          <w:rFonts w:ascii="Times New Roman" w:hAnsi="Times New Roman"/>
        </w:rPr>
        <w:t>Folgefragen</w:t>
      </w:r>
    </w:p>
    <w:p>
      <w:pPr>
        <w:jc w:val="left"/>
      </w:pPr>
      <w:r>
        <w:t>Wenn die Stelle bereits besetzt wird, sind Schadensersatz, Personalaktenberichtigung und künftige Bewerbungsnachteile zu sichern. Bei fortbestehender Stillhaltung bleibt Ziel die Freihaltung und Neubescheidung.</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Hauptschriftsatz Beförderungskaskade Landesamt Weserbrücke</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Hauptschriftsatz Beförderungskaskade Landesamt Weserbrücke</w:t>
    </w:r>
  </w:p>
  <w:p>
    <w:pPr>
      <w:jc w:val="left"/>
      <w:pBdr>
        <w:bottom w:val="single" w:sz="6" w:space="2" w:color="3B3F45"/>
      </w:pBdr>
    </w:pPr>
    <w:r>
      <w:rPr>
        <w:rFonts w:ascii="Times New Roman" w:hAnsi="Times New Roman"/>
        <w:color w:val="6B6B66"/>
        <w:sz w:val="16"/>
      </w:rPr>
      <w:t>Behörde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