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Beurteilungsbeitrag des Vorsitzenden der 8. Strafkammer</w:t>
      </w:r>
    </w:p>
    <w:p>
      <w:pPr>
        <w:jc w:val="left"/>
      </w:pPr>
      <w:r>
        <w:rPr>
          <w:b/>
        </w:rPr>
        <w:t>Aussteller:</w:t>
      </w:r>
      <w:r>
        <w:t xml:space="preserve"> Vorsitzender Richter am Landgericht Eberhard Hinterscheid</w:t>
      </w:r>
    </w:p>
    <w:p>
      <w:pPr>
        <w:jc w:val="left"/>
      </w:pPr>
      <w:r>
        <w:rPr>
          <w:b/>
        </w:rPr>
        <w:t>Datum:</w:t>
      </w:r>
      <w:r>
        <w:t xml:space="preserve"> 14.02.2026</w:t>
      </w:r>
    </w:p>
    <w:p>
      <w:pPr>
        <w:jc w:val="left"/>
      </w:pPr>
      <w:r>
        <w:rPr>
          <w:b/>
        </w:rPr>
        <w:t>Status:</w:t>
      </w:r>
      <w:r>
        <w:t xml:space="preserve"> laut Personalakte nur als Entwurf enthalten</w:t>
      </w:r>
    </w:p>
    <w:p>
      <w:pPr>
        <w:pStyle w:val="Heading2"/>
      </w:pPr>
      <w:r>
        <w:rPr>
          <w:rFonts w:ascii="Times New Roman" w:hAnsi="Times New Roman"/>
        </w:rPr>
        <w:t>Inhaltlicher Kern</w:t>
      </w:r>
    </w:p>
    <w:p>
      <w:pPr>
        <w:jc w:val="left"/>
      </w:pPr>
      <w:r>
        <w:t>Der Vorsitzende beschreibt Dr. Mondsee als fachlich ungewöhnlich präzise, in der Sitzung ruhig und in schwierigen Beweisaufnahmen belastbar. Besonders hervorgehoben werden ihre Fähigkeit, widersprüchliche Zeugenaussagen in klare Beweisthemen zu zerlegen, und ihre Bereitschaft, nach langen Sitzungstagen noch Beschlussentwürfe zu fertigen. Kritisch erwähnt wird, sie reagiere auf organisatorische Ungenauigkeiten gelegentlich „zu direkt“.</w:t>
      </w:r>
    </w:p>
    <w:p>
      <w:pPr>
        <w:pStyle w:val="Heading2"/>
      </w:pPr>
      <w:r>
        <w:rPr>
          <w:rFonts w:ascii="Times New Roman" w:hAnsi="Times New Roman"/>
        </w:rPr>
        <w:t>Wörtlich sinngemäß nach Aktennotiz</w:t>
      </w:r>
    </w:p>
    <w:p>
      <w:pPr>
        <w:jc w:val="left"/>
      </w:pPr>
      <w:r>
        <w:t>Die Mandantin habe in mehreren Haftsachen Verantwortung übernommen, die Terminierung mit Verteidigung, Staatsanwaltschaft und Dolmetschern geordnet und Beschlüsse so vorbereitet, dass der Spruchkörper kurzfristig entscheidungsfähig war. Sie habe keine Vorsitzendenstelle innegehabt, aber in der praktischen Kammerarbeit deutlich Führungsanteile gezeigt.</w:t>
      </w:r>
    </w:p>
    <w:p>
      <w:pPr>
        <w:pStyle w:val="Heading2"/>
      </w:pPr>
      <w:r>
        <w:rPr>
          <w:rFonts w:ascii="Times New Roman" w:hAnsi="Times New Roman"/>
        </w:rPr>
        <w:t>Problem</w:t>
      </w:r>
    </w:p>
    <w:p>
      <w:pPr>
        <w:jc w:val="left"/>
      </w:pPr>
      <w:r>
        <w:t>Dieser Beitrag findet sich im Auswahlvermerk nur mit der Formel „Beitrag lag vor“. Die positiven Aussagen werden nicht erkennbar gewichtet. Der kritische Satz zur Direktheit wird dagegen im Auswahlvermerk aufgenommen und mit „Kommunikationsrisiko bei Leitung einer politisch sensiblen Kammer“ verbunden. Das wirkt selektiv.</w:t>
      </w:r>
    </w:p>
    <w:p>
      <w:pPr>
        <w:pStyle w:val="Heading2"/>
      </w:pPr>
      <w:r>
        <w:rPr>
          <w:rFonts w:ascii="Times New Roman" w:hAnsi="Times New Roman"/>
        </w:rPr>
        <w:t>Angriffslinie</w:t>
      </w:r>
    </w:p>
    <w:p>
      <w:pPr>
        <w:jc w:val="left"/>
      </w:pPr>
      <w:r>
        <w:t>Der Beitrag muss vollständig beigezogen und in seiner inneren Gewichtung berücksichtigt werden. Wenn die Behörde aus einem einzelnen kritischen Hinweis einen Auswahlnachteil ableitet, muss sie erklären, warum die zahlreichen positiven Leitungselemente nicht mindestens gleiches Gewicht haben. Andernfalls ist die Auswahlbegründung nicht hinreichend plausibilisiert.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Eberhard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Eberhard</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