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 Entwurf nach Behördenstellungnahme</w:t>
      </w:r>
    </w:p>
    <w:p>
      <w:pPr>
        <w:pStyle w:val="Heading2"/>
      </w:pPr>
      <w:r>
        <w:rPr>
          <w:rFonts w:ascii="Times New Roman" w:hAnsi="Times New Roman"/>
        </w:rPr>
        <w:t>Einleitung</w:t>
      </w:r>
    </w:p>
    <w:p>
      <w:pPr>
        <w:jc w:val="left"/>
      </w:pPr>
      <w:r>
        <w:t>Die Antragstellerin verkennt den Beurteilungsspielraum des Dienstherrn nicht. Gerade weil dem Dienstherrn ein Spielraum zusteht, muss die dokumentierte Tatsachengrundlage aber erkennen lassen, dass der Spielraum auf einer vollständigen, vergleichbaren und sachgerechten Bewertung ausgeübt wurde. Daran fehlt es.</w:t>
      </w:r>
    </w:p>
    <w:p>
      <w:pPr>
        <w:pStyle w:val="Heading2"/>
      </w:pPr>
      <w:r>
        <w:rPr>
          <w:rFonts w:ascii="Times New Roman" w:hAnsi="Times New Roman"/>
        </w:rPr>
        <w:t>Vergleichbarkeit</w:t>
      </w:r>
    </w:p>
    <w:p>
      <w:pPr>
        <w:jc w:val="left"/>
      </w:pPr>
      <w:r>
        <w:t>Die Beurteilung der Antragstellerin umfasst einen Zeitraum, in dem sie teilweise in das Ministerium abgeordnet war. Die Beurteilung des Beigeladenen beruht demgegenüber nahezu vollständig auf gerichtlicher Spruchtätigkeit. Die Behörde durfte diese Unterschiede nicht ignorieren. Sie musste entweder vergleichbare Erkenntnisse schaffen oder offen begründen, warum die abweichenden Verwendungen dennoch denselben Aussagewert haben.</w:t>
      </w:r>
    </w:p>
    <w:p>
      <w:pPr>
        <w:pStyle w:val="Heading2"/>
      </w:pPr>
      <w:r>
        <w:rPr>
          <w:rFonts w:ascii="Times New Roman" w:hAnsi="Times New Roman"/>
        </w:rPr>
        <w:t>Beurteilungsbeitrag</w:t>
      </w:r>
    </w:p>
    <w:p>
      <w:pPr>
        <w:jc w:val="left"/>
      </w:pPr>
      <w:r>
        <w:t>Der Beitrag des Vorsitzenden der 8. Strafkammer enthält konkrete Angaben zu Leitung, Terminsteuerung, Beweisaufnahme und Belastbarkeit. Der Auswahlvermerk übernimmt daraus vor allem den kritischen Satz zur Direktheit. Die positiven Aussagen verschwinden in einer Sammelformel. Das ist keine wertende Gesamtwürdigung, sondern eine selektive Verwertung.</w:t>
      </w:r>
    </w:p>
    <w:p>
      <w:pPr>
        <w:pStyle w:val="Heading2"/>
      </w:pPr>
      <w:r>
        <w:rPr>
          <w:rFonts w:ascii="Times New Roman" w:hAnsi="Times New Roman"/>
        </w:rPr>
        <w:t>Präsidialrat</w:t>
      </w:r>
    </w:p>
    <w:p>
      <w:pPr>
        <w:jc w:val="left"/>
      </w:pPr>
      <w:r>
        <w:t>Die Stellungnahme des Präsidialrats ist nicht wertlos. Sie kann aber keine Unterlagen ersetzen, die dem Gremium nicht vorlagen oder die unvollständig wiedergegeben wurden. Das Sondervotum zeigt zudem, dass die Plausibilität der Auswahl bereits intern zweifelhaft war.</w:t>
      </w:r>
    </w:p>
    <w:p>
      <w:pPr>
        <w:pStyle w:val="Heading2"/>
      </w:pPr>
      <w:r>
        <w:rPr>
          <w:rFonts w:ascii="Times New Roman" w:hAnsi="Times New Roman"/>
        </w:rPr>
        <w:t>Ergebnis</w:t>
      </w:r>
    </w:p>
    <w:p>
      <w:pPr>
        <w:jc w:val="left"/>
      </w:pPr>
      <w:r>
        <w:t>Die Stelle muss nicht der Antragstellerin zugesprochen werden. Der Dienstherr muss aber eine neue, dokumentierte und vergleichbare Auswahlentscheidung treffen. Bis dahin darf die Stelle nicht irreversibel besetzt werden.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Replik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Replik</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