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Auszug aus der Behördenakte des Justizministeriums</w:t>
      </w:r>
    </w:p>
    <w:p>
      <w:pPr>
        <w:pStyle w:val="Heading2"/>
      </w:pPr>
      <w:r>
        <w:rPr>
          <w:rFonts w:ascii="Times New Roman" w:hAnsi="Times New Roman"/>
        </w:rPr>
        <w:t>Registerblatt Personalreferat R/42 - Auswahl Vorsitz LG Falkenried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Vorgang</w:t>
            </w:r>
          </w:p>
        </w:tc>
        <w:tc>
          <w:tcPr>
            <w:tcW w:type="dxa" w:w="2268"/>
          </w:tcPr>
          <w:p>
            <w:r>
              <w:rPr>
                <w:rFonts w:ascii="Times New Roman" w:hAnsi="Times New Roman"/>
                <w:b/>
                <w:sz w:val="20"/>
              </w:rPr>
              <w:t>Bearbeitung</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04.02.2026</w:t>
            </w:r>
          </w:p>
        </w:tc>
        <w:tc>
          <w:tcPr>
            <w:tcW w:type="dxa" w:w="2268"/>
          </w:tcPr>
          <w:p>
            <w:r>
              <w:rPr>
                <w:rFonts w:ascii="Times New Roman" w:hAnsi="Times New Roman"/>
                <w:sz w:val="20"/>
              </w:rPr>
              <w:t>Ausschreibung veröffentlicht</w:t>
            </w:r>
          </w:p>
        </w:tc>
        <w:tc>
          <w:tcPr>
            <w:tcW w:type="dxa" w:w="2268"/>
          </w:tcPr>
          <w:p>
            <w:r>
              <w:rPr>
                <w:rFonts w:ascii="Times New Roman" w:hAnsi="Times New Roman"/>
                <w:sz w:val="20"/>
              </w:rPr>
              <w:t>Ref. R/42</w:t>
            </w:r>
          </w:p>
        </w:tc>
        <w:tc>
          <w:tcPr>
            <w:tcW w:type="dxa" w:w="2268"/>
          </w:tcPr>
          <w:p>
            <w:r>
              <w:rPr>
                <w:rFonts w:ascii="Times New Roman" w:hAnsi="Times New Roman"/>
                <w:sz w:val="20"/>
              </w:rPr>
              <w:t>Profil: Strafkammer, Medienbezug, Leitungsfähigkeit</w:t>
            </w:r>
          </w:p>
        </w:tc>
      </w:tr>
      <w:tr>
        <w:tc>
          <w:tcPr>
            <w:tcW w:type="dxa" w:w="2268"/>
          </w:tcPr>
          <w:p>
            <w:r>
              <w:rPr>
                <w:rFonts w:ascii="Times New Roman" w:hAnsi="Times New Roman"/>
                <w:sz w:val="20"/>
              </w:rPr>
              <w:t>18.02.2026</w:t>
            </w:r>
          </w:p>
        </w:tc>
        <w:tc>
          <w:tcPr>
            <w:tcW w:type="dxa" w:w="2268"/>
          </w:tcPr>
          <w:p>
            <w:r>
              <w:rPr>
                <w:rFonts w:ascii="Times New Roman" w:hAnsi="Times New Roman"/>
                <w:sz w:val="20"/>
              </w:rPr>
              <w:t>Bewerbung Dr. Mondsee eingegangen</w:t>
            </w:r>
          </w:p>
        </w:tc>
        <w:tc>
          <w:tcPr>
            <w:tcW w:type="dxa" w:w="2268"/>
          </w:tcPr>
          <w:p>
            <w:r>
              <w:rPr>
                <w:rFonts w:ascii="Times New Roman" w:hAnsi="Times New Roman"/>
                <w:sz w:val="20"/>
              </w:rPr>
              <w:t>Dienstweg</w:t>
            </w:r>
          </w:p>
        </w:tc>
        <w:tc>
          <w:tcPr>
            <w:tcW w:type="dxa" w:w="2268"/>
          </w:tcPr>
          <w:p>
            <w:r>
              <w:rPr>
                <w:rFonts w:ascii="Times New Roman" w:hAnsi="Times New Roman"/>
                <w:sz w:val="20"/>
              </w:rPr>
              <w:t>Anlagen vollständig, Beurteilung angefordert</w:t>
            </w:r>
          </w:p>
        </w:tc>
      </w:tr>
      <w:tr>
        <w:tc>
          <w:tcPr>
            <w:tcW w:type="dxa" w:w="2268"/>
          </w:tcPr>
          <w:p>
            <w:r>
              <w:rPr>
                <w:rFonts w:ascii="Times New Roman" w:hAnsi="Times New Roman"/>
                <w:sz w:val="20"/>
              </w:rPr>
              <w:t>19.02.2026</w:t>
            </w:r>
          </w:p>
        </w:tc>
        <w:tc>
          <w:tcPr>
            <w:tcW w:type="dxa" w:w="2268"/>
          </w:tcPr>
          <w:p>
            <w:r>
              <w:rPr>
                <w:rFonts w:ascii="Times New Roman" w:hAnsi="Times New Roman"/>
                <w:sz w:val="20"/>
              </w:rPr>
              <w:t>Bewerbung Dr. Wendelborn eingegangen</w:t>
            </w:r>
          </w:p>
        </w:tc>
        <w:tc>
          <w:tcPr>
            <w:tcW w:type="dxa" w:w="2268"/>
          </w:tcPr>
          <w:p>
            <w:r>
              <w:rPr>
                <w:rFonts w:ascii="Times New Roman" w:hAnsi="Times New Roman"/>
                <w:sz w:val="20"/>
              </w:rPr>
              <w:t>Dienstweg</w:t>
            </w:r>
          </w:p>
        </w:tc>
        <w:tc>
          <w:tcPr>
            <w:tcW w:type="dxa" w:w="2268"/>
          </w:tcPr>
          <w:p>
            <w:r>
              <w:rPr>
                <w:rFonts w:ascii="Times New Roman" w:hAnsi="Times New Roman"/>
                <w:sz w:val="20"/>
              </w:rPr>
              <w:t>Abordnung Ministerium 2022-2024 hervorgehoben</w:t>
            </w:r>
          </w:p>
        </w:tc>
      </w:tr>
      <w:tr>
        <w:tc>
          <w:tcPr>
            <w:tcW w:type="dxa" w:w="2268"/>
          </w:tcPr>
          <w:p>
            <w:r>
              <w:rPr>
                <w:rFonts w:ascii="Times New Roman" w:hAnsi="Times New Roman"/>
                <w:sz w:val="20"/>
              </w:rPr>
              <w:t>04.03.2026</w:t>
            </w:r>
          </w:p>
        </w:tc>
        <w:tc>
          <w:tcPr>
            <w:tcW w:type="dxa" w:w="2268"/>
          </w:tcPr>
          <w:p>
            <w:r>
              <w:rPr>
                <w:rFonts w:ascii="Times New Roman" w:hAnsi="Times New Roman"/>
                <w:sz w:val="20"/>
              </w:rPr>
              <w:t>Beurteilungen angefordert</w:t>
            </w:r>
          </w:p>
        </w:tc>
        <w:tc>
          <w:tcPr>
            <w:tcW w:type="dxa" w:w="2268"/>
          </w:tcPr>
          <w:p>
            <w:r>
              <w:rPr>
                <w:rFonts w:ascii="Times New Roman" w:hAnsi="Times New Roman"/>
                <w:sz w:val="20"/>
              </w:rPr>
              <w:t>R/42</w:t>
            </w:r>
          </w:p>
        </w:tc>
        <w:tc>
          <w:tcPr>
            <w:tcW w:type="dxa" w:w="2268"/>
          </w:tcPr>
          <w:p>
            <w:r>
              <w:rPr>
                <w:rFonts w:ascii="Times New Roman" w:hAnsi="Times New Roman"/>
                <w:sz w:val="20"/>
              </w:rPr>
              <w:t>LG-Präsident, OLG-Präsidentin, Ministerialbeitrag</w:t>
            </w:r>
          </w:p>
        </w:tc>
      </w:tr>
      <w:tr>
        <w:tc>
          <w:tcPr>
            <w:tcW w:type="dxa" w:w="2268"/>
          </w:tcPr>
          <w:p>
            <w:r>
              <w:rPr>
                <w:rFonts w:ascii="Times New Roman" w:hAnsi="Times New Roman"/>
                <w:sz w:val="20"/>
              </w:rPr>
              <w:t>22.03.2026</w:t>
            </w:r>
          </w:p>
        </w:tc>
        <w:tc>
          <w:tcPr>
            <w:tcW w:type="dxa" w:w="2268"/>
          </w:tcPr>
          <w:p>
            <w:r>
              <w:rPr>
                <w:rFonts w:ascii="Times New Roman" w:hAnsi="Times New Roman"/>
                <w:sz w:val="20"/>
              </w:rPr>
              <w:t>Nachforderung Belastungszahlen 8. Strafkammer</w:t>
            </w:r>
          </w:p>
        </w:tc>
        <w:tc>
          <w:tcPr>
            <w:tcW w:type="dxa" w:w="2268"/>
          </w:tcPr>
          <w:p>
            <w:r>
              <w:rPr>
                <w:rFonts w:ascii="Times New Roman" w:hAnsi="Times New Roman"/>
                <w:sz w:val="20"/>
              </w:rPr>
              <w:t>R/42</w:t>
            </w:r>
          </w:p>
        </w:tc>
        <w:tc>
          <w:tcPr>
            <w:tcW w:type="dxa" w:w="2268"/>
          </w:tcPr>
          <w:p>
            <w:r>
              <w:rPr>
                <w:rFonts w:ascii="Times New Roman" w:hAnsi="Times New Roman"/>
                <w:sz w:val="20"/>
              </w:rPr>
              <w:t>Datei später handschriftlich korrigiert</w:t>
            </w:r>
          </w:p>
        </w:tc>
      </w:tr>
      <w:tr>
        <w:tc>
          <w:tcPr>
            <w:tcW w:type="dxa" w:w="2268"/>
          </w:tcPr>
          <w:p>
            <w:r>
              <w:rPr>
                <w:rFonts w:ascii="Times New Roman" w:hAnsi="Times New Roman"/>
                <w:sz w:val="20"/>
              </w:rPr>
              <w:t>15.05.2026</w:t>
            </w:r>
          </w:p>
        </w:tc>
        <w:tc>
          <w:tcPr>
            <w:tcW w:type="dxa" w:w="2268"/>
          </w:tcPr>
          <w:p>
            <w:r>
              <w:rPr>
                <w:rFonts w:ascii="Times New Roman" w:hAnsi="Times New Roman"/>
                <w:sz w:val="20"/>
              </w:rPr>
              <w:t>Auswahlgespräch</w:t>
            </w:r>
          </w:p>
        </w:tc>
        <w:tc>
          <w:tcPr>
            <w:tcW w:type="dxa" w:w="2268"/>
          </w:tcPr>
          <w:p>
            <w:r>
              <w:rPr>
                <w:rFonts w:ascii="Times New Roman" w:hAnsi="Times New Roman"/>
                <w:sz w:val="20"/>
              </w:rPr>
              <w:t>Kommission</w:t>
            </w:r>
          </w:p>
        </w:tc>
        <w:tc>
          <w:tcPr>
            <w:tcW w:type="dxa" w:w="2268"/>
          </w:tcPr>
          <w:p>
            <w:r>
              <w:rPr>
                <w:rFonts w:ascii="Times New Roman" w:hAnsi="Times New Roman"/>
                <w:sz w:val="20"/>
              </w:rPr>
              <w:t>Gesprächsbögen nicht in Reinschrift übernommen</w:t>
            </w:r>
          </w:p>
        </w:tc>
      </w:tr>
      <w:tr>
        <w:tc>
          <w:tcPr>
            <w:tcW w:type="dxa" w:w="2268"/>
          </w:tcPr>
          <w:p>
            <w:r>
              <w:rPr>
                <w:rFonts w:ascii="Times New Roman" w:hAnsi="Times New Roman"/>
                <w:sz w:val="20"/>
              </w:rPr>
              <w:t>22.05.2026</w:t>
            </w:r>
          </w:p>
        </w:tc>
        <w:tc>
          <w:tcPr>
            <w:tcW w:type="dxa" w:w="2268"/>
          </w:tcPr>
          <w:p>
            <w:r>
              <w:rPr>
                <w:rFonts w:ascii="Times New Roman" w:hAnsi="Times New Roman"/>
                <w:sz w:val="20"/>
              </w:rPr>
              <w:t>Auswahlvermerk Schlussfassung</w:t>
            </w:r>
          </w:p>
        </w:tc>
        <w:tc>
          <w:tcPr>
            <w:tcW w:type="dxa" w:w="2268"/>
          </w:tcPr>
          <w:p>
            <w:r>
              <w:rPr>
                <w:rFonts w:ascii="Times New Roman" w:hAnsi="Times New Roman"/>
                <w:sz w:val="20"/>
              </w:rPr>
              <w:t>R/42</w:t>
            </w:r>
          </w:p>
        </w:tc>
        <w:tc>
          <w:tcPr>
            <w:tcW w:type="dxa" w:w="2268"/>
          </w:tcPr>
          <w:p>
            <w:r>
              <w:rPr>
                <w:rFonts w:ascii="Times New Roman" w:hAnsi="Times New Roman"/>
                <w:sz w:val="20"/>
              </w:rPr>
              <w:t>Votum Wendelborn</w:t>
            </w:r>
          </w:p>
        </w:tc>
      </w:tr>
      <w:tr>
        <w:tc>
          <w:tcPr>
            <w:tcW w:type="dxa" w:w="2268"/>
          </w:tcPr>
          <w:p>
            <w:r>
              <w:rPr>
                <w:rFonts w:ascii="Times New Roman" w:hAnsi="Times New Roman"/>
                <w:sz w:val="20"/>
              </w:rPr>
              <w:t>29.05.2026</w:t>
            </w:r>
          </w:p>
        </w:tc>
        <w:tc>
          <w:tcPr>
            <w:tcW w:type="dxa" w:w="2268"/>
          </w:tcPr>
          <w:p>
            <w:r>
              <w:rPr>
                <w:rFonts w:ascii="Times New Roman" w:hAnsi="Times New Roman"/>
                <w:sz w:val="20"/>
              </w:rPr>
              <w:t>Präsidialrat</w:t>
            </w:r>
          </w:p>
        </w:tc>
        <w:tc>
          <w:tcPr>
            <w:tcW w:type="dxa" w:w="2268"/>
          </w:tcPr>
          <w:p>
            <w:r>
              <w:rPr>
                <w:rFonts w:ascii="Times New Roman" w:hAnsi="Times New Roman"/>
                <w:sz w:val="20"/>
              </w:rPr>
              <w:t>Geschäftsstelle</w:t>
            </w:r>
          </w:p>
        </w:tc>
        <w:tc>
          <w:tcPr>
            <w:tcW w:type="dxa" w:w="2268"/>
          </w:tcPr>
          <w:p>
            <w:r>
              <w:rPr>
                <w:rFonts w:ascii="Times New Roman" w:hAnsi="Times New Roman"/>
                <w:sz w:val="20"/>
              </w:rPr>
              <w:t>nur Ergebnisvermerk in Akte</w:t>
            </w:r>
          </w:p>
        </w:tc>
      </w:tr>
      <w:tr>
        <w:tc>
          <w:tcPr>
            <w:tcW w:type="dxa" w:w="2268"/>
          </w:tcPr>
          <w:p>
            <w:r>
              <w:rPr>
                <w:rFonts w:ascii="Times New Roman" w:hAnsi="Times New Roman"/>
                <w:sz w:val="20"/>
              </w:rPr>
              <w:t>03.06.2026</w:t>
            </w:r>
          </w:p>
        </w:tc>
        <w:tc>
          <w:tcPr>
            <w:tcW w:type="dxa" w:w="2268"/>
          </w:tcPr>
          <w:p>
            <w:r>
              <w:rPr>
                <w:rFonts w:ascii="Times New Roman" w:hAnsi="Times New Roman"/>
                <w:sz w:val="20"/>
              </w:rPr>
              <w:t>Konkurrentenmitteilung</w:t>
            </w:r>
          </w:p>
        </w:tc>
        <w:tc>
          <w:tcPr>
            <w:tcW w:type="dxa" w:w="2268"/>
          </w:tcPr>
          <w:p>
            <w:r>
              <w:rPr>
                <w:rFonts w:ascii="Times New Roman" w:hAnsi="Times New Roman"/>
                <w:sz w:val="20"/>
              </w:rPr>
              <w:t>beBPo</w:t>
            </w:r>
          </w:p>
        </w:tc>
        <w:tc>
          <w:tcPr>
            <w:tcW w:type="dxa" w:w="2268"/>
          </w:tcPr>
          <w:p>
            <w:r>
              <w:rPr>
                <w:rFonts w:ascii="Times New Roman" w:hAnsi="Times New Roman"/>
                <w:sz w:val="20"/>
              </w:rPr>
              <w:t>Stillhaltefrist ungeklärt</w:t>
            </w:r>
          </w:p>
        </w:tc>
      </w:tr>
      <w:tr>
        <w:tc>
          <w:tcPr>
            <w:tcW w:type="dxa" w:w="2268"/>
          </w:tcPr>
          <w:p>
            <w:r>
              <w:rPr>
                <w:rFonts w:ascii="Times New Roman" w:hAnsi="Times New Roman"/>
                <w:sz w:val="20"/>
              </w:rPr>
              <w:t>06.06.2026</w:t>
            </w:r>
          </w:p>
        </w:tc>
        <w:tc>
          <w:tcPr>
            <w:tcW w:type="dxa" w:w="2268"/>
          </w:tcPr>
          <w:p>
            <w:r>
              <w:rPr>
                <w:rFonts w:ascii="Times New Roman" w:hAnsi="Times New Roman"/>
                <w:sz w:val="20"/>
              </w:rPr>
              <w:t>Akteneinsichtsbitte Mondsee</w:t>
            </w:r>
          </w:p>
        </w:tc>
        <w:tc>
          <w:tcPr>
            <w:tcW w:type="dxa" w:w="2268"/>
          </w:tcPr>
          <w:p>
            <w:r>
              <w:rPr>
                <w:rFonts w:ascii="Times New Roman" w:hAnsi="Times New Roman"/>
                <w:sz w:val="20"/>
              </w:rPr>
              <w:t>R/42</w:t>
            </w:r>
          </w:p>
        </w:tc>
        <w:tc>
          <w:tcPr>
            <w:tcW w:type="dxa" w:w="2268"/>
          </w:tcPr>
          <w:p>
            <w:r>
              <w:rPr>
                <w:rFonts w:ascii="Times New Roman" w:hAnsi="Times New Roman"/>
                <w:sz w:val="20"/>
              </w:rPr>
              <w:t>Teilakte übersandt</w:t>
            </w:r>
          </w:p>
        </w:tc>
      </w:tr>
    </w:tbl>
    <w:p>
      <w:pPr>
        <w:pStyle w:val="Heading2"/>
      </w:pPr>
      <w:r>
        <w:rPr>
          <w:rFonts w:ascii="Times New Roman" w:hAnsi="Times New Roman"/>
        </w:rPr>
        <w:t>Aktennotiz Ref. R/42 vom 18.05.2026</w:t>
      </w:r>
    </w:p>
    <w:p>
      <w:pPr>
        <w:jc w:val="left"/>
      </w:pPr>
      <w:r>
        <w:t>Die Kommission sieht bei beiden Bewerbungen ein überdurchschnittliches Leistungsbild. Dr. Mondsee verfügt über hohe fachliche Durchdringung und belastbare strafprozessuale Erfahrung. Dr. Wendelborn wird wegen ministerieller Vorerfahrung, ruhiger Gesprächsführung und projektbezogener Leitungserfahrung als vorzugswürdig angesehen. Es besteht Einigkeit, dass die Formulierungen zur „Kampfkraft“ der Bewerberin in der Reinschrift nicht verwendet werden sollen.</w:t>
      </w:r>
    </w:p>
    <w:p>
      <w:pPr>
        <w:pStyle w:val="Heading2"/>
      </w:pPr>
      <w:r>
        <w:rPr>
          <w:rFonts w:ascii="Times New Roman" w:hAnsi="Times New Roman"/>
        </w:rPr>
        <w:t>Randbemerkung auf Ausdruck Belastungszahlen</w:t>
      </w:r>
    </w:p>
    <w:p>
      <w:pPr>
        <w:jc w:val="left"/>
      </w:pPr>
      <w:r>
        <w:t>„Bitte Verfahren Schacht 17 nicht doppelt zählen. Leitung faktisch M., formal Vorsitz Dr. H. prüfen. Sonst Angriffsfläche.“</w:t>
      </w:r>
    </w:p>
    <w:p>
      <w:pPr>
        <w:pStyle w:val="Heading2"/>
      </w:pPr>
      <w:r>
        <w:rPr>
          <w:rFonts w:ascii="Times New Roman" w:hAnsi="Times New Roman"/>
        </w:rPr>
        <w:t>Fehlende Aktenbestandteile nach anwaltlicher Sicht</w:t>
      </w:r>
    </w:p>
    <w:p>
      <w:pPr>
        <w:jc w:val="left"/>
      </w:pPr>
      <w:r>
        <w:t>Die Teilakte ist nicht geeignet, die Auswahlentscheidung vollständig zu prüfen. Insbesondere fehlen die originären Gesprächsbögen, ein Vergleich der Einzelmerkmale, die Herleitung des angeblich höheren Führungsvorsprungs und eine dokumentierte Entscheidung darüber, ob das Anforderungsprofil konstitutive oder lediglich beschreibende Elemente enthält.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Auszug aus der Behördenakte des Justizministeriums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Auszug aus der Behördenakte des Justizministeriums</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