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Protokollnotiz zur mündlichen Erörterung vor dem Verwaltungsgericht</w:t>
      </w:r>
    </w:p>
    <w:p>
      <w:pPr>
        <w:jc w:val="left"/>
      </w:pPr>
      <w:r>
        <w:rPr>
          <w:b/>
        </w:rPr>
        <w:t>Termin:</w:t>
      </w:r>
      <w:r>
        <w:t xml:space="preserve"> 24.06.2026, 10:00 Uhr, Saal 2.114</w:t>
      </w:r>
    </w:p>
    <w:p>
      <w:pPr>
        <w:jc w:val="left"/>
      </w:pPr>
      <w:r>
        <w:rPr>
          <w:b/>
        </w:rPr>
        <w:t>Anwesend:</w:t>
      </w:r>
      <w:r>
        <w:t xml:space="preserve"> Vorsitzender Richter am Verwaltungsgericht Dr. Langenfeld, Berichterstatterin Dr. Eschenau, ehrenamtliche Richter nicht geladen; für die Antragstellerin Rechtsanwältin Dr. Marlies Stechlin und Dr. Ottilie Mondsee; für den Antragsgegner Ministerialrätin Dr. Brückner und Regierungsdirektor Voss.</w:t>
      </w:r>
    </w:p>
    <w:p>
      <w:pPr>
        <w:pStyle w:val="Heading2"/>
      </w:pPr>
      <w:r>
        <w:rPr>
          <w:rFonts w:ascii="Times New Roman" w:hAnsi="Times New Roman"/>
        </w:rPr>
        <w:t>1. Einleitung des Gerichts</w:t>
      </w:r>
    </w:p>
    <w:p>
      <w:pPr>
        <w:jc w:val="left"/>
      </w:pPr>
      <w:r>
        <w:t>Das Gericht weist darauf hin, dass es nicht um eine bessere Personalpolitik gehe, sondern um die gerichtliche Kontrolle des Bewerbungsverfahrensanspruchs. Der Dienstherr habe einen Beurteilungs- und Einschätzungsspielraum, dieser setze aber eine vollständige Tatsachengrundlage, ein vorab erkennbares Anforderungsprofil und eine nachvollziehbare Gewichtung voraus.</w:t>
      </w:r>
    </w:p>
    <w:p>
      <w:pPr>
        <w:pStyle w:val="Heading2"/>
      </w:pPr>
      <w:r>
        <w:rPr>
          <w:rFonts w:ascii="Times New Roman" w:hAnsi="Times New Roman"/>
        </w:rPr>
        <w:t>2. Fragen zur Tatsachengrundlage</w:t>
      </w:r>
    </w:p>
    <w:p>
      <w:pPr>
        <w:jc w:val="left"/>
      </w:pPr>
      <w:r>
        <w:t>Die Berichterstatterin fragt, warum die kommissarischen Sitzungsleitungen der Antragstellerin nicht im Auswahlvermerk erscheinen. Der Vertreter des Ministeriums erklärt, die Leitungen seien formal dem damaligen Vorsitzenden zugeordnet gewesen. Auf Nachfrage räumt er ein, dass die Antragstellerin tatsächlich mehrere Termine eigenständig geführt habe. Der Vorsitzende hält fest, dies könne für die Bewertung praktischer Leitungserfahrung relevant sein.</w:t>
      </w:r>
    </w:p>
    <w:p>
      <w:pPr>
        <w:pStyle w:val="Heading2"/>
      </w:pPr>
      <w:r>
        <w:rPr>
          <w:rFonts w:ascii="Times New Roman" w:hAnsi="Times New Roman"/>
        </w:rPr>
        <w:t>3. Auswahlgespräch</w:t>
      </w:r>
    </w:p>
    <w:p>
      <w:pPr>
        <w:jc w:val="left"/>
      </w:pPr>
      <w:r>
        <w:t>Das Gericht fragt nach Gesprächsbögen. Der Antragsgegner legt handschriftliche Notizen vor, die nicht Bestandteil der übersandten Teilakte waren. Die Notizen enthalten die Begriffe „zu pointiert“, „streitbar“, „sehr fachlich“, „weniger vermittelnd“. Die Antragstellerseite beanstandet, dass diese Begriffe nicht mit vorher definierten Kriterien verknüpft sind. Das Gericht bittet den Antragsgegner um Erläuterung, ob die Kriterien allen Bewerbern gleich mitgeteilt wurden.</w:t>
      </w:r>
    </w:p>
    <w:p>
      <w:pPr>
        <w:pStyle w:val="Heading2"/>
      </w:pPr>
      <w:r>
        <w:rPr>
          <w:rFonts w:ascii="Times New Roman" w:hAnsi="Times New Roman"/>
        </w:rPr>
        <w:t>4. Präsidialrat</w:t>
      </w:r>
    </w:p>
    <w:p>
      <w:pPr>
        <w:jc w:val="left"/>
      </w:pPr>
      <w:r>
        <w:t>Die Antragstellerseite rügt, dass der Präsidialrat möglicherweise nur den Endvermerk erhalten habe. Die Ministerialrätin erklärt, nach ihrer Erinnerung seien „die wesentlichen Unterlagen“ vorgelegt worden. Der Vorsitzende weist darauf hin, dass eine Erinnerung im Eilverfahren nicht ausreichen müsse, wenn die Beteiligung gesetzlich vorgesehen und dokumentationsbedürftig sei.</w:t>
      </w:r>
    </w:p>
    <w:p>
      <w:pPr>
        <w:pStyle w:val="Heading2"/>
      </w:pPr>
      <w:r>
        <w:rPr>
          <w:rFonts w:ascii="Times New Roman" w:hAnsi="Times New Roman"/>
        </w:rPr>
        <w:t>5. Besoldungsbezug</w:t>
      </w:r>
    </w:p>
    <w:p>
      <w:pPr>
        <w:jc w:val="left"/>
      </w:pPr>
      <w:r>
        <w:t>Das Gericht trennt die Besoldungswidersprüche formal vom Auswahlverfahren, erkennt aber an, dass die Erfassung der bisherigen Tätigkeiten in beiden Verfahren eine Rolle spielt. Die Antragstellerin erklärt, sie wolle keinen Besoldungsstreit in das Auswahlverfahren hineinziehen, sondern verhindern, dass dieselben Tatsachen zweimal verkürzt werden.</w:t>
      </w:r>
    </w:p>
    <w:p>
      <w:pPr>
        <w:pStyle w:val="Heading2"/>
      </w:pPr>
      <w:r>
        <w:rPr>
          <w:rFonts w:ascii="Times New Roman" w:hAnsi="Times New Roman"/>
        </w:rPr>
        <w:t>6. Vergleichsgespräch</w:t>
      </w:r>
    </w:p>
    <w:p>
      <w:pPr>
        <w:jc w:val="left"/>
      </w:pPr>
      <w:r>
        <w:t>Das Gericht regt eine Zwischenlösung an: Aussetzung der Ernennung für acht Wochen, vollständige Akteneinsicht, Nachbewertung der kommissarischen Vorsitzendentätigkeit und erneute Entscheidung. Der Antragsgegner will dies prüfen. Die Antragstellerseite hält eine solche Lösung für möglich, wenn die Stillhaltezusage verbindlich und schriftlich erfolgt.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Protokollnotiz zur mündlichen Erörterung vor dem Verwaltungsgericht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Protokollnotiz zur mündlichen Erörterung vor dem Verwaltungsgericht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