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Auswahlvermerk Regionales Landesamt für Schule und Bildung</w:t>
      </w:r>
    </w:p>
    <w:p>
      <w:pPr>
        <w:pStyle w:val="Heading2"/>
      </w:pPr>
      <w:r>
        <w:rPr>
          <w:rFonts w:ascii="Times New Roman" w:hAnsi="Times New Roman"/>
        </w:rPr>
        <w:t>Ergebnis</w:t>
      </w:r>
    </w:p>
    <w:p>
      <w:pPr>
        <w:jc w:val="left"/>
      </w:pPr>
      <w:r>
        <w:t>Der Bewerber Markus Vornhagen wird vorgeschlagen. Er habe das überzeugendere Konzept zur baulichen Erweiterung und zu externer Kommunikation vorgelegt. Dr. Falkenberg sei fachlich sehr geeignet, wirke aber in der Präsentation stärker auf interne Schulentwicklung fokussiert.</w:t>
      </w:r>
    </w:p>
    <w:p>
      <w:pPr>
        <w:pStyle w:val="Heading2"/>
      </w:pPr>
      <w:r>
        <w:rPr>
          <w:rFonts w:ascii="Times New Roman" w:hAnsi="Times New Roman"/>
        </w:rPr>
        <w:t>Problemstellen</w:t>
      </w:r>
    </w:p>
    <w:p>
      <w:pPr>
        <w:jc w:val="left"/>
      </w:pPr>
      <w:r>
        <w:t>Der Vermerk springt zwischen Kriterien. Mal geht es um Bauprojektsteuerung, mal um Personalführung, mal um Außenwirkung. Die Gewichtung ist nicht klar. Die Beurteilungen beider Bewerber haben dieselbe Gesamtstufe; eine Binnendifferenzierung wird behauptet, aber nur in zwei Sätzen ausgeführt. Die langjährige Kenntnis der IGS-Struktur wird bei Dr. Falkenberg als „Binnenperspektive“ relativiert, während die externe Herkunft Vornhagens als „frischer Blick“ positiv gewertet wird.</w:t>
      </w:r>
    </w:p>
    <w:p>
      <w:pPr>
        <w:pStyle w:val="Heading2"/>
      </w:pPr>
      <w:r>
        <w:rPr>
          <w:rFonts w:ascii="Times New Roman" w:hAnsi="Times New Roman"/>
        </w:rPr>
        <w:t>Angriffspunkt</w:t>
      </w:r>
    </w:p>
    <w:p>
      <w:pPr>
        <w:jc w:val="left"/>
      </w:pPr>
      <w:r>
        <w:t>Das kann noch eine zulässige Wertung sein, braucht aber deutlich mehr Dokumentation. Wenn dieselbe Tatsache je nach Bewerber positiv oder negativ gewendet wird, muss die Behörde erklären, warum.</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Auswahlvermerk Regionales Landesamt für Schule und Bildung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Auswahlvermerk Regionales Landesamt für Schule und Bildung</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