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Schallschutzgutachten — Auszug</w:t>
      </w:r>
    </w:p>
    <w:p>
      <w:pPr>
        <w:jc w:val="left"/>
      </w:pPr>
      <w:r>
        <w:rPr>
          <w:b/>
        </w:rPr>
        <w:t>IBA Akustik GmbH, Nürnberg</w:t>
      </w:r>
    </w:p>
    <w:p>
      <w:pPr>
        <w:jc w:val="left"/>
      </w:pPr>
      <w:r>
        <w:t>Auftraggeber: Stadt Augsburg, Stadtplanungsamt</w:t>
      </w:r>
    </w:p>
    <w:p>
      <w:pPr>
        <w:jc w:val="left"/>
      </w:pPr>
      <w:r>
        <w:t>Projekt-Nr.: 2023-441 / Bahnhofsviertel West</w:t>
      </w:r>
    </w:p>
    <w:p>
      <w:pPr>
        <w:jc w:val="left"/>
      </w:pPr>
      <w:r>
        <w:t>Berichts-Nr.: 4 / Stand: 17. April 2024</w:t>
      </w:r>
    </w:p>
    <w:p>
      <w:pPr>
        <w:jc w:val="left"/>
      </w:pPr>
      <w:r>
        <w:t>Bearbeitung: Dipl.-Ing. (FH) Joachim Pesserl</w:t>
      </w:r>
    </w:p>
    <w:p/>
    <w:p>
      <w:pPr>
        <w:pStyle w:val="Heading2"/>
      </w:pPr>
      <w:r>
        <w:rPr>
          <w:rFonts w:ascii="Times New Roman" w:hAnsi="Times New Roman"/>
        </w:rPr>
        <w:t>Untersuchungsumfang</w:t>
      </w:r>
    </w:p>
    <w:p>
      <w:pPr>
        <w:jc w:val="left"/>
      </w:pPr>
      <w:r>
        <w:rPr>
          <w:b/>
        </w:rPr>
        <w:t>Untersucht wurden folgende Emissionsquellen:</w:t>
      </w:r>
    </w:p>
    <w:p>
      <w:pPr>
        <w:pStyle w:val="ListNumber"/>
      </w:pPr>
      <w:r>
        <w:t>Verkehrslärm Halderstraße (Straßenverkehr)</w:t>
      </w:r>
    </w:p>
    <w:p>
      <w:pPr>
        <w:pStyle w:val="ListNumber"/>
      </w:pPr>
      <w:r>
        <w:t>Schienenverkehrslärm Strecke 5503 Augsburg Hbf – München (DB Netz AG)</w:t>
      </w:r>
    </w:p>
    <w:p>
      <w:pPr>
        <w:pStyle w:val="ListNumber"/>
      </w:pPr>
      <w:r>
        <w:t>Tramlinie 2 (Stadtwerke Augsburg)</w:t>
      </w:r>
    </w:p>
    <w:p>
      <w:pPr>
        <w:pStyle w:val="ListNumber"/>
      </w:pPr>
      <w:r>
        <w:t>Gewerbelärm aus den geplanten Büronutzungen MU 1 und MU 3</w:t>
      </w:r>
    </w:p>
    <w:p>
      <w:pPr>
        <w:jc w:val="left"/>
      </w:pPr>
      <w:r>
        <w:rPr>
          <w:b/>
        </w:rPr>
        <w:t>Nicht in den Untersuchungsumfang aufgenommen wurden:</w:t>
      </w:r>
    </w:p>
    <w:p>
      <w:pPr>
        <w:pStyle w:val="ListBullet"/>
      </w:pPr>
      <w:r>
        <w:t xml:space="preserve">Tiefgaragenzufahrt MU 3 Provinostraße — </w:t>
      </w:r>
      <w:r>
        <w:rPr>
          <w:i/>
        </w:rPr>
        <w:t>"unterhalb der nach TA Lärm Nr. 7.4 typischen Auslösewerte"</w:t>
      </w:r>
    </w:p>
    <w:p>
      <w:pPr>
        <w:pStyle w:val="ListBullet"/>
      </w:pPr>
      <w:r>
        <w:t xml:space="preserve">Außenwohnbereiche der Bestandsbebauung — </w:t>
      </w:r>
      <w:r>
        <w:rPr>
          <w:i/>
        </w:rPr>
        <w:t>"Außenwohnbereiche im Bestand sind in der vorliegenden Schalltechnischen Untersuchung nicht Gegenstand der Beurteilung."</w:t>
      </w:r>
    </w:p>
    <w:p>
      <w:pPr>
        <w:ind w:left="567"/>
      </w:pPr>
      <w:r>
        <w:rPr>
          <w:b/>
          <w:i/>
        </w:rPr>
        <w:t>[Kanzleimarkierung: "Zwei Pauschalausschlüsse ohne standortbezogene Begründung. § 2 Abs. 3 BauGB Ermittlungsdefizit. Das ist die zentrale Lücke."]</w:t>
      </w:r>
    </w:p>
    <w:p>
      <w:pPr>
        <w:pStyle w:val="Heading2"/>
      </w:pPr>
      <w:r>
        <w:rPr>
          <w:rFonts w:ascii="Times New Roman" w:hAnsi="Times New Roman"/>
        </w:rPr>
        <w:t>Ergebnisse Verkehr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Beurteilungspunkt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Tag dB(A)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Nacht dB(A)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Orientierungswert MU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MU 1, Halderstraße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 / 50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MU 2, Innenhof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 / 50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MU 3, Provinostraße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 / 50</w:t>
            </w:r>
          </w:p>
        </w:tc>
      </w:tr>
    </w:tbl>
    <w:p>
      <w:pPr>
        <w:ind w:left="567"/>
      </w:pPr>
      <w:r>
        <w:rPr>
          <w:i/>
        </w:rPr>
        <w:t>"Im Bereich MU 1 zur Halderstraße werden die Orientierungswerte der DIN 18005 überschritten. Durch passive Schallschutzmaßnahmen (Schallschutzfenster Klasse 4, schallgedämmte Lüftung) kann ein hinreichender Innenraumpegel sichergestellt werden."</w:t>
      </w:r>
    </w:p>
    <w:p>
      <w:pPr>
        <w:pStyle w:val="Heading2"/>
      </w:pPr>
      <w:r>
        <w:rPr>
          <w:rFonts w:ascii="Times New Roman" w:hAnsi="Times New Roman"/>
        </w:rPr>
        <w:t>Ergebnisse Schiene</w:t>
      </w:r>
    </w:p>
    <w:p>
      <w:pPr>
        <w:ind w:left="567"/>
      </w:pPr>
      <w:r>
        <w:rPr>
          <w:i/>
        </w:rPr>
        <w:t>"Auf Grundlage des Schall 03 (2014) wird der Bahnlärm berechnet. Die Beurteilungspegel betragen am Bezugspunkt MU 3, Schlafraumfassade, 53 dB(A) nachts. Passiver Schallschutz erforderlich."</w:t>
      </w:r>
    </w:p>
    <w:p>
      <w:pPr>
        <w:pStyle w:val="Heading2"/>
      </w:pPr>
      <w:r>
        <w:rPr>
          <w:rFonts w:ascii="Times New Roman" w:hAnsi="Times New Roman"/>
        </w:rPr>
        <w:t>Hinweise des Gutachters</w:t>
      </w:r>
    </w:p>
    <w:p>
      <w:pPr>
        <w:ind w:left="567"/>
      </w:pPr>
      <w:r>
        <w:rPr>
          <w:i/>
        </w:rPr>
        <w:t>"Auf die fehlende Beurteilung der Außenwohnbereiche der Bestandsbebauung wird ausdrücklich hingewiesen. Die Stadt Augsburg hat bewusst auf einen entsprechenden Auftragsumfang verzichtet."</w:t>
      </w:r>
    </w:p>
    <w:p>
      <w:pPr>
        <w:ind w:left="567"/>
      </w:pPr>
      <w:r>
        <w:rPr>
          <w:b/>
          <w:i/>
        </w:rPr>
        <w:t>[Kanzleimarkierung: "Gutachter weist selbst auf Lücke hin. Stadt Augsburg hat 'bewusst' verzichtet. Das ist nicht nur Ermittlungsdefizit, sondern bewusster Verzicht auf Abwägungsmaterial = qualifizierter Abwägungsfehler."]</w:t>
      </w:r>
    </w:p>
    <w:p>
      <w:pPr>
        <w:pStyle w:val="Heading2"/>
      </w:pPr>
      <w:r>
        <w:rPr>
          <w:rFonts w:ascii="Times New Roman" w:hAnsi="Times New Roman"/>
        </w:rPr>
        <w:t>Anlagenverzeichnis (verkürzt)</w:t>
      </w:r>
    </w:p>
    <w:p>
      <w:pPr>
        <w:pStyle w:val="ListBullet"/>
      </w:pPr>
      <w:r>
        <w:t>Anlage 1: Lageplan Beurteilungspunkte</w:t>
      </w:r>
    </w:p>
    <w:p>
      <w:pPr>
        <w:pStyle w:val="ListBullet"/>
      </w:pPr>
      <w:r>
        <w:t>Anlage 2: Berechnungsausdruck Soundplan 8.2</w:t>
      </w:r>
    </w:p>
    <w:p>
      <w:pPr>
        <w:pStyle w:val="ListBullet"/>
      </w:pPr>
      <w:r>
        <w:t>Anlage 3: Eingabedaten Verkehrszahlen (Quelle: Verkehrsgutachten Wandtke 2023)</w:t>
      </w:r>
    </w:p>
    <w:p>
      <w:pPr>
        <w:jc w:val="left"/>
      </w:pPr>
      <w:r>
        <w:rPr>
          <w:b/>
        </w:rPr>
        <w:t>Schlusssatz:</w:t>
      </w:r>
    </w:p>
    <w:p>
      <w:pPr>
        <w:ind w:left="567"/>
      </w:pPr>
      <w:r>
        <w:rPr>
          <w:i/>
        </w:rPr>
        <w:t>"Unter Berücksichtigung der vorgenannten Schutzmaßnahmen sind aus schalltechnischer Sicht keine grundsätzlichen Bedenken gegen den Bebauungsplan Nr. 900 zu erheben."</w:t>
      </w:r>
    </w:p>
    <w:p>
      <w:pPr>
        <w:jc w:val="left"/>
      </w:pPr>
      <w:r>
        <w:t>Nürnberg, 17.04.2024</w:t>
      </w:r>
    </w:p>
    <w:p>
      <w:pPr>
        <w:jc w:val="left"/>
      </w:pPr>
      <w:r>
        <w:t>J. Pesserl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IBA Akustik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IBA Akustik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Nürnberg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