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01 Sachverhaltsueberblick — Dr. Reinhart Bischof-Hellberg / Doppelverkauf Mercedes-Benz 300 SL</w:t>
      </w:r>
    </w:p>
    <w:p>
      <w:pPr>
        <w:jc w:val="left"/>
      </w:pPr>
      <w:r>
        <w:rPr>
          <w:b/>
        </w:rPr>
        <w:t>Aktenzeichen:</w:t>
      </w:r>
      <w:r>
        <w:t xml:space="preserve"> LG Bonn 16 O 211/26 (Hauptsache Doppelverkauf), AG Hamburg 67 IN 88/26 (Insolvenz Trappenfels), LG Bonn 4 O 188/26 (AnfG gegen Helena Bischof-Renkert)</w:t>
      </w:r>
    </w:p>
    <w:p>
      <w:pPr>
        <w:jc w:val="left"/>
      </w:pPr>
      <w:r>
        <w:rPr>
          <w:b/>
        </w:rPr>
        <w:t>Kanzlei:</w:t>
      </w:r>
      <w:r>
        <w:t xml:space="preserve"> Spethmann, Kaltenbach &amp; Partner Rechtsanwaltsgesellschaft mbB, Bonn</w:t>
      </w:r>
    </w:p>
    <w:p>
      <w:pPr>
        <w:jc w:val="left"/>
      </w:pPr>
      <w:r>
        <w:rPr>
          <w:b/>
        </w:rPr>
        <w:t>Sachbearbeiter:</w:t>
      </w:r>
      <w:r>
        <w:t xml:space="preserve"> RA Dr. Tilman Spethmann</w:t>
      </w:r>
    </w:p>
    <w:p>
      <w:pPr>
        <w:jc w:val="left"/>
      </w:pPr>
      <w:r>
        <w:rPr>
          <w:b/>
        </w:rPr>
        <w:t>Datum:</w:t>
      </w:r>
      <w:r>
        <w:t xml:space="preserve"> 12. März 2026</w:t>
      </w:r>
    </w:p>
    <w:p/>
    <w:p>
      <w:pPr>
        <w:pStyle w:val="Heading2"/>
      </w:pPr>
      <w:r>
        <w:rPr>
          <w:rFonts w:ascii="Times New Roman" w:hAnsi="Times New Roman"/>
        </w:rPr>
        <w:t>1. Beteiligte Personen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Person</w:t>
            </w:r>
          </w:p>
        </w:tc>
        <w:tc>
          <w:tcPr>
            <w:tcW w:type="dxa" w:w="3024"/>
          </w:tcPr>
          <w:p>
            <w:r>
              <w:rPr>
                <w:rFonts w:ascii="Times New Roman" w:hAnsi="Times New Roman"/>
                <w:b/>
                <w:sz w:val="20"/>
              </w:rPr>
              <w:t>Rolle</w:t>
            </w:r>
          </w:p>
        </w:tc>
        <w:tc>
          <w:tcPr>
            <w:tcW w:type="dxa" w:w="3024"/>
          </w:tcPr>
          <w:p>
            <w:r>
              <w:rPr>
                <w:rFonts w:ascii="Times New Roman" w:hAnsi="Times New Roman"/>
                <w:b/>
                <w:sz w:val="20"/>
              </w:rPr>
              <w:t>Wohnort</w:t>
            </w:r>
          </w:p>
        </w:tc>
      </w:tr>
      <w:tr>
        <w:tc>
          <w:tcPr>
            <w:tcW w:type="dxa" w:w="3024"/>
          </w:tcPr>
          <w:p>
            <w:r>
              <w:rPr>
                <w:rFonts w:ascii="Times New Roman" w:hAnsi="Times New Roman"/>
                <w:sz w:val="20"/>
              </w:rPr>
              <w:t>Dr. Reinhart Bischof-Hellberg (68)</w:t>
            </w:r>
          </w:p>
        </w:tc>
        <w:tc>
          <w:tcPr>
            <w:tcW w:type="dxa" w:w="3024"/>
          </w:tcPr>
          <w:p>
            <w:r>
              <w:rPr>
                <w:rFonts w:ascii="Times New Roman" w:hAnsi="Times New Roman"/>
                <w:sz w:val="20"/>
              </w:rPr>
              <w:t>Hauptschuldner, pensionierter Anästhesist, Sportwagen-Sammler</w:t>
            </w:r>
          </w:p>
        </w:tc>
        <w:tc>
          <w:tcPr>
            <w:tcW w:type="dxa" w:w="3024"/>
          </w:tcPr>
          <w:p>
            <w:r>
              <w:rPr>
                <w:rFonts w:ascii="Times New Roman" w:hAnsi="Times New Roman"/>
                <w:sz w:val="20"/>
              </w:rPr>
              <w:t>Bonn (Schloss Bischof-Hellberg)</w:t>
            </w:r>
          </w:p>
        </w:tc>
      </w:tr>
      <w:tr>
        <w:tc>
          <w:tcPr>
            <w:tcW w:type="dxa" w:w="3024"/>
          </w:tcPr>
          <w:p>
            <w:r>
              <w:rPr>
                <w:rFonts w:ascii="Times New Roman" w:hAnsi="Times New Roman"/>
                <w:sz w:val="20"/>
              </w:rPr>
              <w:t>Theresia Bagheri-Aichholz</w:t>
            </w:r>
          </w:p>
        </w:tc>
        <w:tc>
          <w:tcPr>
            <w:tcW w:type="dxa" w:w="3024"/>
          </w:tcPr>
          <w:p>
            <w:r>
              <w:rPr>
                <w:rFonts w:ascii="Times New Roman" w:hAnsi="Times New Roman"/>
                <w:sz w:val="20"/>
              </w:rPr>
              <w:t>Erste Käuferinnen Mercedes-Benz 300 SL, Geschädigte des Doppelverkaufs</w:t>
            </w:r>
          </w:p>
        </w:tc>
        <w:tc>
          <w:tcPr>
            <w:tcW w:type="dxa" w:w="3024"/>
          </w:tcPr>
          <w:p>
            <w:r>
              <w:rPr>
                <w:rFonts w:ascii="Times New Roman" w:hAnsi="Times New Roman"/>
                <w:sz w:val="20"/>
              </w:rPr>
              <w:t>Wien (Österreich)</w:t>
            </w:r>
          </w:p>
        </w:tc>
      </w:tr>
      <w:tr>
        <w:tc>
          <w:tcPr>
            <w:tcW w:type="dxa" w:w="3024"/>
          </w:tcPr>
          <w:p>
            <w:r>
              <w:rPr>
                <w:rFonts w:ascii="Times New Roman" w:hAnsi="Times New Roman"/>
                <w:sz w:val="20"/>
              </w:rPr>
              <w:t>Heinz-Albrecht Trappenfels (Erblasser)</w:t>
            </w:r>
          </w:p>
        </w:tc>
        <w:tc>
          <w:tcPr>
            <w:tcW w:type="dxa" w:w="3024"/>
          </w:tcPr>
          <w:p>
            <w:r>
              <w:rPr>
                <w:rFonts w:ascii="Times New Roman" w:hAnsi="Times New Roman"/>
                <w:sz w:val="20"/>
              </w:rPr>
              <w:t>Zweiter Käufer, Insolvenzschuldner</w:t>
            </w:r>
          </w:p>
        </w:tc>
        <w:tc>
          <w:tcPr>
            <w:tcW w:type="dxa" w:w="3024"/>
          </w:tcPr>
          <w:p>
            <w:r>
              <w:rPr>
                <w:rFonts w:ascii="Times New Roman" w:hAnsi="Times New Roman"/>
                <w:sz w:val="20"/>
              </w:rPr>
              <w:t>Hamburg</w:t>
            </w:r>
          </w:p>
        </w:tc>
      </w:tr>
      <w:tr>
        <w:tc>
          <w:tcPr>
            <w:tcW w:type="dxa" w:w="3024"/>
          </w:tcPr>
          <w:p>
            <w:r>
              <w:rPr>
                <w:rFonts w:ascii="Times New Roman" w:hAnsi="Times New Roman"/>
                <w:sz w:val="20"/>
              </w:rPr>
              <w:t>Trappenfels-Erbenkonsortium</w:t>
            </w:r>
          </w:p>
        </w:tc>
        <w:tc>
          <w:tcPr>
            <w:tcW w:type="dxa" w:w="3024"/>
          </w:tcPr>
          <w:p>
            <w:r>
              <w:rPr>
                <w:rFonts w:ascii="Times New Roman" w:hAnsi="Times New Roman"/>
                <w:sz w:val="20"/>
              </w:rPr>
              <w:t>Rechtsnachfolger, Gläubigerposition geltend machend</w:t>
            </w:r>
          </w:p>
        </w:tc>
        <w:tc>
          <w:tcPr>
            <w:tcW w:type="dxa" w:w="3024"/>
          </w:tcPr>
          <w:p>
            <w:r>
              <w:rPr>
                <w:rFonts w:ascii="Times New Roman" w:hAnsi="Times New Roman"/>
                <w:sz w:val="20"/>
              </w:rPr>
              <w:t>Hamburg</w:t>
            </w:r>
          </w:p>
        </w:tc>
      </w:tr>
      <w:tr>
        <w:tc>
          <w:tcPr>
            <w:tcW w:type="dxa" w:w="3024"/>
          </w:tcPr>
          <w:p>
            <w:r>
              <w:rPr>
                <w:rFonts w:ascii="Times New Roman" w:hAnsi="Times New Roman"/>
                <w:sz w:val="20"/>
              </w:rPr>
              <w:t>RAin Dr. Sigrid Drosselberg</w:t>
            </w:r>
          </w:p>
        </w:tc>
        <w:tc>
          <w:tcPr>
            <w:tcW w:type="dxa" w:w="3024"/>
          </w:tcPr>
          <w:p>
            <w:r>
              <w:rPr>
                <w:rFonts w:ascii="Times New Roman" w:hAnsi="Times New Roman"/>
                <w:sz w:val="20"/>
              </w:rPr>
              <w:t>Insolvenzverwalterin, AG Hamburg 67 IN 88/26</w:t>
            </w:r>
          </w:p>
        </w:tc>
        <w:tc>
          <w:tcPr>
            <w:tcW w:type="dxa" w:w="3024"/>
          </w:tcPr>
          <w:p>
            <w:r>
              <w:rPr>
                <w:rFonts w:ascii="Times New Roman" w:hAnsi="Times New Roman"/>
                <w:sz w:val="20"/>
              </w:rPr>
              <w:t>Hamburg</w:t>
            </w:r>
          </w:p>
        </w:tc>
      </w:tr>
      <w:tr>
        <w:tc>
          <w:tcPr>
            <w:tcW w:type="dxa" w:w="3024"/>
          </w:tcPr>
          <w:p>
            <w:r>
              <w:rPr>
                <w:rFonts w:ascii="Times New Roman" w:hAnsi="Times New Roman"/>
                <w:sz w:val="20"/>
              </w:rPr>
              <w:t>Helena Bischof-Renkert</w:t>
            </w:r>
          </w:p>
        </w:tc>
        <w:tc>
          <w:tcPr>
            <w:tcW w:type="dxa" w:w="3024"/>
          </w:tcPr>
          <w:p>
            <w:r>
              <w:rPr>
                <w:rFonts w:ascii="Times New Roman" w:hAnsi="Times New Roman"/>
                <w:sz w:val="20"/>
              </w:rPr>
              <w:t>Tochter von Dr. Bischof-Hellberg, Zahnärztin, Empfängerin der sechs Sportwagen</w:t>
            </w:r>
          </w:p>
        </w:tc>
        <w:tc>
          <w:tcPr>
            <w:tcW w:type="dxa" w:w="3024"/>
          </w:tcPr>
          <w:p>
            <w:r>
              <w:rPr>
                <w:rFonts w:ascii="Times New Roman" w:hAnsi="Times New Roman"/>
                <w:sz w:val="20"/>
              </w:rPr>
              <w:t>Bonn</w:t>
            </w:r>
          </w:p>
        </w:tc>
      </w:tr>
      <w:tr>
        <w:tc>
          <w:tcPr>
            <w:tcW w:type="dxa" w:w="3024"/>
          </w:tcPr>
          <w:p>
            <w:r>
              <w:rPr>
                <w:rFonts w:ascii="Times New Roman" w:hAnsi="Times New Roman"/>
                <w:sz w:val="20"/>
              </w:rPr>
              <w:t>Schmiedeknecht-Restaurations-KG</w:t>
            </w:r>
          </w:p>
        </w:tc>
        <w:tc>
          <w:tcPr>
            <w:tcW w:type="dxa" w:w="3024"/>
          </w:tcPr>
          <w:p>
            <w:r>
              <w:rPr>
                <w:rFonts w:ascii="Times New Roman" w:hAnsi="Times New Roman"/>
                <w:sz w:val="20"/>
              </w:rPr>
              <w:t>Werkstatt, Empfängerin der 78.000-EUR-Zahlung (Dreiecksverhaeltnis)</w:t>
            </w:r>
          </w:p>
        </w:tc>
        <w:tc>
          <w:tcPr>
            <w:tcW w:type="dxa" w:w="3024"/>
          </w:tcPr>
          <w:p>
            <w:r>
              <w:rPr>
                <w:rFonts w:ascii="Times New Roman" w:hAnsi="Times New Roman"/>
                <w:sz w:val="20"/>
              </w:rPr>
              <w:t>Koeln</w:t>
            </w:r>
          </w:p>
        </w:tc>
      </w:tr>
    </w:tbl>
    <w:p/>
    <w:p>
      <w:pPr>
        <w:pStyle w:val="Heading2"/>
      </w:pPr>
      <w:r>
        <w:rPr>
          <w:rFonts w:ascii="Times New Roman" w:hAnsi="Times New Roman"/>
        </w:rPr>
        <w:t>2. Chronologie der massgeblichen Ereignisse</w:t>
      </w:r>
    </w:p>
    <w:p>
      <w:pPr>
        <w:jc w:val="left"/>
      </w:pPr>
      <w:r>
        <w:t>```</w:t>
      </w:r>
    </w:p>
    <w:p>
      <w:pPr>
        <w:jc w:val="left"/>
      </w:pPr>
      <w:r>
        <w:t>15.01.2024   Dr. Bischof-Hellberg uebertraegt sechs Sportwagen an Tochter Helena Bischof-Renkert</w:t>
      </w:r>
    </w:p>
    <w:p>
      <w:pPr>
        <w:jc w:val="left"/>
      </w:pPr>
      <w:r>
        <w:t>(Schenkung/gemischte Schenkung, Verdacht AnfG-Anfechtbarkeit)</w:t>
      </w:r>
    </w:p>
    <w:p>
      <w:pPr>
        <w:jc w:val="left"/>
      </w:pPr>
      <w:r>
        <w:t>03.03.2025   Erster Kaufvertrag: Bischof-Hellberg &lt;-&gt; Bagheri-Aichholz</w:t>
      </w:r>
    </w:p>
    <w:p>
      <w:pPr>
        <w:jc w:val="left"/>
      </w:pPr>
      <w:r>
        <w:t>Kaufpreis: 1.800.000 EUR, Anzahlung 600.000 EUR geleistet</w:t>
      </w:r>
    </w:p>
    <w:p>
      <w:pPr>
        <w:jc w:val="left"/>
      </w:pPr>
      <w:r>
        <w:t>14.03.2025   Zweiter Kaufvertrag: Bischof-Hellberg &lt;-&gt; Trappenfels</w:t>
      </w:r>
    </w:p>
    <w:p>
      <w:pPr>
        <w:jc w:val="left"/>
      </w:pPr>
      <w:r>
        <w:t>Kaufpreis: 1.800.000 EUR, Anzahlung 850.000 EUR geleistet</w:t>
      </w:r>
    </w:p>
    <w:p>
      <w:pPr>
        <w:jc w:val="left"/>
      </w:pPr>
      <w:r>
        <w:t>28.03.2025   Lieferung des Mercedes-Benz 300 SL Gullwing (Bj. 1955) an Trappenfels</w:t>
      </w:r>
    </w:p>
    <w:p>
      <w:pPr>
        <w:jc w:val="left"/>
      </w:pPr>
      <w:r>
        <w:t>Schloss Bischof-Hellberg, Abholung durch Trappenfels-Beauftragten</w:t>
      </w:r>
    </w:p>
    <w:p>
      <w:pPr>
        <w:jc w:val="left"/>
      </w:pPr>
      <w:r>
        <w:t>30.03.2025   Brand in der Remise auf Schloss Bischof-Hellberg;</w:t>
      </w:r>
    </w:p>
    <w:p>
      <w:pPr>
        <w:jc w:val="left"/>
      </w:pPr>
      <w:r>
        <w:t>Mercedes-Benz 300 SL wird vollstaendig zerstoert (Totalschaden)</w:t>
      </w:r>
    </w:p>
    <w:p>
      <w:pPr>
        <w:jc w:val="left"/>
      </w:pPr>
      <w:r>
        <w:t>Wert zum Zeitpunkt des Brands: 1.800.000 EUR (Versicherungsschaetzung)</w:t>
      </w:r>
    </w:p>
    <w:p>
      <w:pPr>
        <w:jc w:val="left"/>
      </w:pPr>
      <w:r>
        <w:t>15.04.2025   Werkstattauftrag Schmiedeknecht: angewiesene Zahlung 78.000 EUR fuer</w:t>
      </w:r>
    </w:p>
    <w:p>
      <w:pPr>
        <w:jc w:val="left"/>
      </w:pPr>
      <w:r>
        <w:t>Reparatur des 300 SL (Anweisung spaeter wegen Paragraf 119 BGB angefochten)</w:t>
      </w:r>
    </w:p>
    <w:p>
      <w:pPr>
        <w:jc w:val="left"/>
      </w:pPr>
      <w:r>
        <w:t>01.09.2025   Trappenfels stellt Insolvenzantrag, AG Hamburg 67 IN 88/26</w:t>
      </w:r>
    </w:p>
    <w:p>
      <w:pPr>
        <w:jc w:val="left"/>
      </w:pPr>
      <w:r>
        <w:t>Eroefffnung des Insolvenzverfahrens am 15.10.2025</w:t>
      </w:r>
    </w:p>
    <w:p>
      <w:pPr>
        <w:jc w:val="left"/>
      </w:pPr>
      <w:r>
        <w:t>15.10.2025   RAin Dr. Drosselberg als Insolvenzverwalterin bestellt</w:t>
      </w:r>
    </w:p>
    <w:p>
      <w:pPr>
        <w:jc w:val="left"/>
      </w:pPr>
      <w:r>
        <w:t>20.01.2026   Anfechtungsklage InsO durch Dr. Drosselberg gegen Bischof-Hellberg</w:t>
      </w:r>
    </w:p>
    <w:p>
      <w:pPr>
        <w:jc w:val="left"/>
      </w:pPr>
      <w:r>
        <w:t>nach Paragrafen 130, 133 InsO (AG Hamburg 67 IN 88/26)</w:t>
      </w:r>
    </w:p>
    <w:p>
      <w:pPr>
        <w:jc w:val="left"/>
      </w:pPr>
      <w:r>
        <w:t>01.02.2026   Bagheri-Aichholz klagt auf Rueckzahlung der Anzahlung 600.000 EUR,</w:t>
      </w:r>
    </w:p>
    <w:p>
      <w:pPr>
        <w:jc w:val="left"/>
      </w:pPr>
      <w:r>
        <w:t>LG Bonn 16 O 211/26</w:t>
      </w:r>
    </w:p>
    <w:p>
      <w:pPr>
        <w:jc w:val="left"/>
      </w:pPr>
      <w:r>
        <w:t>12.03.2026   AnfG-Klage durch Trappenfels-Erbenkonsortium gegen Helena Bischof-Renkert,</w:t>
      </w:r>
    </w:p>
    <w:p>
      <w:pPr>
        <w:jc w:val="left"/>
      </w:pPr>
      <w:r>
        <w:t>LG Bonn 4 O 188/26</w:t>
      </w:r>
    </w:p>
    <w:p>
      <w:pPr>
        <w:jc w:val="left"/>
      </w:pPr>
      <w:r>
        <w:t>```</w:t>
      </w:r>
    </w:p>
    <w:p/>
    <w:p>
      <w:pPr>
        <w:pStyle w:val="Heading2"/>
      </w:pPr>
      <w:r>
        <w:rPr>
          <w:rFonts w:ascii="Times New Roman" w:hAnsi="Times New Roman"/>
        </w:rPr>
        <w:t>3. Kernrechtliche Fragestellungen</w:t>
      </w:r>
    </w:p>
    <w:p>
      <w:pPr>
        <w:pStyle w:val="Heading3"/>
      </w:pPr>
      <w:r>
        <w:rPr>
          <w:rFonts w:ascii="Times New Roman" w:hAnsi="Times New Roman"/>
        </w:rPr>
        <w:t>3.1 Bereicherungsrecht (Paragraf 812 ff. BGB)</w:t>
      </w:r>
    </w:p>
    <w:p>
      <w:pPr>
        <w:jc w:val="left"/>
      </w:pPr>
      <w:r>
        <w:t>Der Sachverhalt wirft folgende bereicherungsrechtliche Hauptfragen auf:</w:t>
      </w:r>
    </w:p>
    <w:p>
      <w:pPr>
        <w:jc w:val="left"/>
      </w:pPr>
      <w:r>
        <w:rPr>
          <w:b/>
        </w:rPr>
        <w:t>a) Doppelverkauf und Leistungskondiktion (Paragraf 812 Abs. 1 S. 1 1. Alt. BGB)</w:t>
      </w:r>
    </w:p>
    <w:p>
      <w:pPr>
        <w:jc w:val="left"/>
      </w:pPr>
      <w:r>
        <w:t>Da der Mercedes-Benz 300 SL nur an Trappenfels geliefert wurde, kann Bagheri-Aichholz die von ihr geleistete Anzahlung von 600.000 EUR nach den Grundsätzen der Leistungskondiktion zurückfordern. Die Nichterfüllung des Kaufvertrags hat nachträglich den Rechtsgrund für die Anzahlung entfallen lassen (condictio ob causam finitam, Paragraf 812 Abs. 1 S. 2 Alt. 1 BGB, nach h.M. jedoch als Leistungskondiktion einzuordnen).</w:t>
      </w:r>
    </w:p>
    <w:p>
      <w:pPr>
        <w:jc w:val="left"/>
      </w:pPr>
      <w:r>
        <w:rPr>
          <w:b/>
        </w:rPr>
        <w:t>b) Dreiecksverhaeltnis Schmiedeknecht (Paragrafen 812, 818 BGB)</w:t>
      </w:r>
    </w:p>
    <w:p>
      <w:pPr>
        <w:jc w:val="left"/>
      </w:pPr>
      <w:r>
        <w:t>Die angewiesene Zahlung von 78.000 EUR an die Schmiedeknecht-Restaurations-KG begegnet dem Problem der Direktkondiktion: Da die Anweisung gem. Paragraf 119 BGB angefochten wurde und damit nichtig ist, fehlt es an einer wirksamen Weisung des Anweisenden (Bischof-Hellberg) an die Schmiedeknecht-KG. Es stellt sich die Frage, ob die Schmiedeknecht-KG direkt gegen Bischof-Hellberg kondizieren kann (Direktkondiktion) oder ob der Ausgleich im Deckungs- bzw. Valutaverhaeltnis zu suchen ist.</w:t>
      </w:r>
    </w:p>
    <w:p>
      <w:pPr>
        <w:jc w:val="left"/>
      </w:pPr>
      <w:r>
        <w:rPr>
          <w:b/>
        </w:rPr>
        <w:t>c) Wertersatz (Paragraf 818 Abs. 2 BGB) nach Untergang des Pkw</w:t>
      </w:r>
    </w:p>
    <w:p>
      <w:pPr>
        <w:jc w:val="left"/>
      </w:pPr>
      <w:r>
        <w:t>Durch den Brand am 30.03.2025 ist das Leistungsobjekt untergegangen. Trappenfels (bzw. seine Insolvenzmasse) muss sich fragen lassen, ob und in welcher Höhe Wertersatz nach Paragraf 818 Abs. 2 BGB geschuldet wird.</w:t>
      </w:r>
    </w:p>
    <w:p>
      <w:pPr>
        <w:pStyle w:val="Heading3"/>
      </w:pPr>
      <w:r>
        <w:rPr>
          <w:rFonts w:ascii="Times New Roman" w:hAnsi="Times New Roman"/>
        </w:rPr>
        <w:t>3.2 Insolvenzrechtliche Anfechtung (Paragrafen 129 ff. InsO)</w:t>
      </w:r>
    </w:p>
    <w:p>
      <w:pPr>
        <w:jc w:val="left"/>
      </w:pPr>
      <w:r>
        <w:t>Die Insolvenzverwalterin Dr. Drosselberg prüft insbesondere:</w:t>
      </w:r>
    </w:p>
    <w:p>
      <w:pPr>
        <w:pStyle w:val="ListBullet"/>
      </w:pPr>
      <w:r>
        <w:t>Paragraf 130 InsO: Kongruente Deckung (Kaufpreiszahlung kurz vor Insolvenzantrag)</w:t>
      </w:r>
    </w:p>
    <w:p>
      <w:pPr>
        <w:pStyle w:val="ListBullet"/>
      </w:pPr>
      <w:r>
        <w:t>Paragraf 133 InsO: Vorsatzanfechtung (Glaeubigerbenachteiligungsvorsatz des Trappenfels)</w:t>
      </w:r>
    </w:p>
    <w:p>
      <w:pPr>
        <w:pStyle w:val="Heading3"/>
      </w:pPr>
      <w:r>
        <w:rPr>
          <w:rFonts w:ascii="Times New Roman" w:hAnsi="Times New Roman"/>
        </w:rPr>
        <w:t>3.3 AnfG-Anfechtung (Paragrafen 3, 4 AnfG)</w:t>
      </w:r>
    </w:p>
    <w:p>
      <w:pPr>
        <w:jc w:val="left"/>
      </w:pPr>
      <w:r>
        <w:t>Das Trappenfels-Erbenkonsortium als Gläubigergruppe ficht die Übertragung der sechs Sportwagen an Helena Bischof-Renkert an:</w:t>
      </w:r>
    </w:p>
    <w:p>
      <w:pPr>
        <w:pStyle w:val="ListBullet"/>
      </w:pPr>
      <w:r>
        <w:t>Paragraf 3 AnfG: Vorsätzliche Benachteiligung</w:t>
      </w:r>
    </w:p>
    <w:p>
      <w:pPr>
        <w:pStyle w:val="ListBullet"/>
      </w:pPr>
      <w:r>
        <w:t>Paragraf 4 AnfG: Unentgeltliche Leistung</w:t>
      </w:r>
    </w:p>
    <w:p/>
    <w:p>
      <w:pPr>
        <w:pStyle w:val="Heading2"/>
      </w:pPr>
      <w:r>
        <w:rPr>
          <w:rFonts w:ascii="Times New Roman" w:hAnsi="Times New Roman"/>
        </w:rPr>
        <w:t>4. Hinweis für das Plugin</w:t>
      </w:r>
    </w:p>
    <w:p>
      <w:pPr>
        <w:jc w:val="left"/>
      </w:pPr>
      <w:r>
        <w:t xml:space="preserve">Dieses Aktenstück dient dem </w:t>
      </w:r>
      <w:r>
        <w:t>bereicherungs-und-anfechtungsrecht-pruefer</w:t>
      </w:r>
      <w:r>
        <w:t xml:space="preserve"> als Eingangs-Sachverhalt für die vollständige Pruefung aller bereicherungs- und anfechtungsrechtlichen Ansprüche. Die Folge-Aktenstücke 02 bis 22 vertiefen die einzelnen Rechtsfragen.</w:t>
      </w:r>
    </w:p>
    <w:p>
      <w:pPr>
        <w:jc w:val="left"/>
      </w:pPr>
      <w:r>
        <w:rPr>
          <w:b/>
        </w:rPr>
        <w:t>Quellen:</w:t>
      </w:r>
    </w:p>
    <w:p>
      <w:pPr>
        <w:pStyle w:val="ListBullet"/>
      </w:pPr>
      <w:r>
        <w:t>Paragraf 812 ff. BGB: https://dejure.org/gesetze/BGB/812.html</w:t>
      </w:r>
    </w:p>
    <w:p>
      <w:pPr>
        <w:pStyle w:val="ListBullet"/>
      </w:pPr>
      <w:r>
        <w:t>Paragraf 129 ff. InsO: https://dejure.org/gesetze/InsO/129.html</w:t>
      </w:r>
    </w:p>
    <w:p>
      <w:pPr>
        <w:pStyle w:val="ListBullet"/>
      </w:pPr>
      <w:r>
        <w:t>Paragrafen 3, 4 AnfG: https://dejure.org/gesetze/AnfG/3.html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Kaltenbach &amp; Partner Rechtsanwaltsgesellschaft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KALTENBACH &amp; PARTNER RECHTSANWALTSGESELLSCHAFT MBB</w:t>
    </w:r>
  </w:p>
  <w:p>
    <w:pPr>
      <w:jc w:val="left"/>
      <w:pBdr>
        <w:bottom w:val="single" w:sz="8" w:space="2" w:color="11555F"/>
      </w:pBdr>
    </w:pPr>
    <w:r>
      <w:rPr>
        <w:rFonts w:ascii="Times New Roman" w:hAnsi="Times New Roman"/>
        <w:color w:val="6B6B66"/>
        <w:sz w:val="16"/>
      </w:rPr>
      <w:t>Bonn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