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Nachgereichte Vertragsmappe: Detailauswertung</w:t>
      </w:r>
    </w:p>
    <w:p>
      <w:pPr>
        <w:jc w:val="left"/>
      </w:pPr>
      <w:r>
        <w:rPr>
          <w:b/>
        </w:rPr>
        <w:t>Eingang:</w:t>
      </w:r>
      <w:r>
        <w:t xml:space="preserve"> 30.05.2026, aus Wohnungsordner "Wichtig / Bank / Gesundheit"</w:t>
      </w:r>
    </w:p>
    <w:p>
      <w:pPr>
        <w:jc w:val="left"/>
      </w:pPr>
      <w:r>
        <w:rPr>
          <w:b/>
        </w:rPr>
        <w:t>Bearbeitung:</w:t>
      </w:r>
      <w:r>
        <w:t xml:space="preserve"> Kanzlei Riepenhausen &amp; Partner</w:t>
      </w:r>
    </w:p>
    <w:p>
      <w:pPr>
        <w:jc w:val="left"/>
      </w:pPr>
      <w:r>
        <w:rPr>
          <w:b/>
        </w:rPr>
        <w:t>Ziel:</w:t>
      </w:r>
      <w:r>
        <w:t xml:space="preserve"> Ergänzung der bisherigen Vertragsauszüge um konkrete Klauseln, Fristen, Beleglücken und Rückfragepunkte.</w:t>
      </w:r>
    </w:p>
    <w:p>
      <w:pPr>
        <w:pStyle w:val="Heading2"/>
      </w:pPr>
      <w:r>
        <w:rPr>
          <w:rFonts w:ascii="Times New Roman" w:hAnsi="Times New Roman"/>
        </w:rPr>
        <w:t>A. PC-Doktor Nordost GmbH</w:t>
      </w:r>
    </w:p>
    <w:p>
      <w:pPr>
        <w:jc w:val="left"/>
      </w:pPr>
      <w:r>
        <w:rPr>
          <w:b/>
        </w:rPr>
        <w:t>Dokument:</w:t>
      </w:r>
      <w:r>
        <w:t xml:space="preserve"> Service-Flatrate Premium, Auftragsnummer PDN-23-0622-884</w:t>
      </w:r>
    </w:p>
    <w:p>
      <w:pPr>
        <w:jc w:val="left"/>
      </w:pPr>
      <w:r>
        <w:rPr>
          <w:b/>
        </w:rPr>
        <w:t>Unterschrift:</w:t>
      </w:r>
      <w:r>
        <w:t xml:space="preserve"> "H. Schmalfeld", zittrig, Datum 22.06.2023</w:t>
      </w:r>
    </w:p>
    <w:p>
      <w:pPr>
        <w:jc w:val="left"/>
      </w:pPr>
      <w:r>
        <w:rPr>
          <w:b/>
        </w:rPr>
        <w:t>Laufzeit:</w:t>
      </w:r>
      <w:r>
        <w:t xml:space="preserve"> 24 Monate, automatische Verlängerung um 12 Monate</w:t>
      </w:r>
    </w:p>
    <w:p>
      <w:pPr>
        <w:jc w:val="left"/>
      </w:pPr>
      <w:r>
        <w:rPr>
          <w:b/>
        </w:rPr>
        <w:t>Preis:</w:t>
      </w:r>
      <w:r>
        <w:t xml:space="preserve"> 99,00 EUR monatlich; Zusatzpauschale "Akutreinigung" 189,00 EUR</w:t>
      </w:r>
    </w:p>
    <w:p>
      <w:pPr>
        <w:pStyle w:val="Heading3"/>
      </w:pPr>
      <w:r>
        <w:rPr>
          <w:rFonts w:ascii="Times New Roman" w:hAnsi="Times New Roman"/>
        </w:rPr>
        <w:t>Auffällige Klauseln</w:t>
      </w:r>
    </w:p>
    <w:p>
      <w:pPr>
        <w:ind w:left="567"/>
      </w:pPr>
      <w:r>
        <w:rPr>
          <w:i/>
        </w:rPr>
        <w:t>"Der Kunde gestattet der PC-Doktor Nordost GmbH, zur Fehlerbehebung Fernzugriff auf das Endgerät zu nehmen. Der Kunde stellt sicher, dass während der Fernwartung keine vertraulichen Anwendungen geöffnet sind."</w:t>
      </w:r>
    </w:p>
    <w:p>
      <w:pPr>
        <w:jc w:val="left"/>
      </w:pPr>
      <w:r>
        <w:t>Problem: Gerade bei einem älteren Betroffenen ist unklar, ob er die Reichweite eines Fernzugriffs überblickte. Die Klausel verschiebt Schutzverantwortung auf den Kunden, obwohl der Anbieter die technische Situation steuert.</w:t>
      </w:r>
    </w:p>
    <w:p>
      <w:pPr>
        <w:ind w:left="567"/>
      </w:pPr>
      <w:r>
        <w:rPr>
          <w:i/>
        </w:rPr>
        <w:t>"Eine Dokumentation einzelner Fernwartungssitzungen erfolgt nur auf ausdrücklichen Wunsch des Kunden."</w:t>
      </w:r>
    </w:p>
    <w:p>
      <w:pPr>
        <w:jc w:val="left"/>
      </w:pPr>
      <w:r>
        <w:t>Problem: Leistungsnachweise fehlen dadurch faktisch. Für Rückforderung und Bankenschutz sind Sitzungszeiten, IP-Adressen, Technikerkennung und Bildschirmfreigaben wichtig.</w:t>
      </w:r>
    </w:p>
    <w:p>
      <w:pPr>
        <w:pStyle w:val="Heading3"/>
      </w:pPr>
      <w:r>
        <w:rPr>
          <w:rFonts w:ascii="Times New Roman" w:hAnsi="Times New Roman"/>
        </w:rPr>
        <w:t>Rückfragen</w:t>
      </w:r>
    </w:p>
    <w:p>
      <w:pPr>
        <w:pStyle w:val="ListNumber"/>
      </w:pPr>
      <w:r>
        <w:t>Welche konkreten Fernwartungssitzungen fanden statt?</w:t>
      </w:r>
    </w:p>
    <w:p>
      <w:pPr>
        <w:pStyle w:val="ListNumber"/>
      </w:pPr>
      <w:r>
        <w:t>Wurde während einer Sitzung Onlinebanking geöffnet?</w:t>
      </w:r>
    </w:p>
    <w:p>
      <w:pPr>
        <w:pStyle w:val="ListNumber"/>
      </w:pPr>
      <w:r>
        <w:t>Gab es Subunternehmer?</w:t>
      </w:r>
    </w:p>
    <w:p>
      <w:pPr>
        <w:pStyle w:val="ListNumber"/>
      </w:pPr>
      <w:r>
        <w:t>Wurde eine Widerrufsbelehrung übergeben?</w:t>
      </w:r>
    </w:p>
    <w:p>
      <w:pPr>
        <w:pStyle w:val="ListNumber"/>
      </w:pPr>
      <w:r>
        <w:t>Wieso wurde zusätzlich Digital-Schutz24 vermittelt?</w:t>
      </w:r>
    </w:p>
    <w:p>
      <w:pPr>
        <w:pStyle w:val="Heading2"/>
      </w:pPr>
      <w:r>
        <w:rPr>
          <w:rFonts w:ascii="Times New Roman" w:hAnsi="Times New Roman"/>
        </w:rPr>
        <w:t>B. Digital-Schutz24 GmbH</w:t>
      </w:r>
    </w:p>
    <w:p>
      <w:pPr>
        <w:jc w:val="left"/>
      </w:pPr>
      <w:r>
        <w:rPr>
          <w:b/>
        </w:rPr>
        <w:t>Dokument:</w:t>
      </w:r>
      <w:r>
        <w:t xml:space="preserve"> "Cyber-Seniorenschutz Premium Plus"</w:t>
      </w:r>
    </w:p>
    <w:p>
      <w:pPr>
        <w:jc w:val="left"/>
      </w:pPr>
      <w:r>
        <w:rPr>
          <w:b/>
        </w:rPr>
        <w:t>Vertrieb:</w:t>
      </w:r>
      <w:r>
        <w:t xml:space="preserve"> laut Brief "Partneraktion mit PC-Doktor Nordost"</w:t>
      </w:r>
    </w:p>
    <w:p>
      <w:pPr>
        <w:jc w:val="left"/>
      </w:pPr>
      <w:r>
        <w:rPr>
          <w:b/>
        </w:rPr>
        <w:t>Preis:</w:t>
      </w:r>
      <w:r>
        <w:t xml:space="preserve"> 119,00 EUR monatlich</w:t>
      </w:r>
    </w:p>
    <w:p>
      <w:pPr>
        <w:jc w:val="left"/>
      </w:pPr>
      <w:r>
        <w:rPr>
          <w:b/>
        </w:rPr>
        <w:t>Leistungsbeschreibung:</w:t>
      </w:r>
      <w:r>
        <w:t xml:space="preserve"> Antivirus, Passwortcheck, Identitätsmonitoring, "Bankkonto-Sicherheitsassistenz"</w:t>
      </w:r>
    </w:p>
    <w:p>
      <w:pPr>
        <w:pStyle w:val="Heading3"/>
      </w:pPr>
      <w:r>
        <w:rPr>
          <w:rFonts w:ascii="Times New Roman" w:hAnsi="Times New Roman"/>
        </w:rPr>
        <w:t>Unklare Leistung</w:t>
      </w:r>
    </w:p>
    <w:p>
      <w:pPr>
        <w:jc w:val="left"/>
      </w:pPr>
      <w:r>
        <w:t>Die Vertragsmappe enthält keine Lizenznummer, kein Installationsprotokoll und keinen Nachweis, welches Gerät geschützt worden sein soll. Gleichzeitig tauchen im Konto laufende Zahlungen an PC-Doktor auf. Es besteht der Verdacht einer wirtschaftlichen Doppelung.</w:t>
      </w:r>
    </w:p>
    <w:p>
      <w:pPr>
        <w:pStyle w:val="Heading3"/>
      </w:pPr>
      <w:r>
        <w:rPr>
          <w:rFonts w:ascii="Times New Roman" w:hAnsi="Times New Roman"/>
        </w:rPr>
        <w:t>Besonderheit</w:t>
      </w:r>
    </w:p>
    <w:p>
      <w:pPr>
        <w:jc w:val="left"/>
      </w:pPr>
      <w:r>
        <w:t>Auf Seite 4 der AGB steht:</w:t>
      </w:r>
    </w:p>
    <w:p>
      <w:pPr>
        <w:ind w:left="567"/>
      </w:pPr>
      <w:r>
        <w:rPr>
          <w:i/>
        </w:rPr>
        <w:t>"Der Kunde nimmt zur Kenntnis, dass Digital-Schutz24 keine Bankdienstleistung und keine rechtliche Beratung erbringt."</w:t>
      </w:r>
    </w:p>
    <w:p>
      <w:pPr>
        <w:jc w:val="left"/>
      </w:pPr>
      <w:r>
        <w:t>Das kollidiert mit Werbeaussagen auf dem Flyer: "Wir stoppen unberechtigte Abbuchungen, bevor sie passieren." Diese Spannung ist für Rückfragen nützlich, aber noch kein Anspruchsnachweis.</w:t>
      </w:r>
    </w:p>
    <w:p>
      <w:pPr>
        <w:pStyle w:val="Heading2"/>
      </w:pPr>
      <w:r>
        <w:rPr>
          <w:rFonts w:ascii="Times New Roman" w:hAnsi="Times New Roman"/>
        </w:rPr>
        <w:t>C. Helvetica Vermögensverwaltung AG</w:t>
      </w:r>
    </w:p>
    <w:p>
      <w:pPr>
        <w:jc w:val="left"/>
      </w:pPr>
      <w:r>
        <w:rPr>
          <w:b/>
        </w:rPr>
        <w:t>Dokument:</w:t>
      </w:r>
      <w:r>
        <w:t xml:space="preserve"> "Managed Account Plus / AlpenReal Yield 7"</w:t>
      </w:r>
    </w:p>
    <w:p>
      <w:pPr>
        <w:jc w:val="left"/>
      </w:pPr>
      <w:r>
        <w:rPr>
          <w:b/>
        </w:rPr>
        <w:t>Sitz laut Briefkopf:</w:t>
      </w:r>
      <w:r>
        <w:t xml:space="preserve"> Zürich</w:t>
      </w:r>
    </w:p>
    <w:p>
      <w:pPr>
        <w:jc w:val="left"/>
      </w:pPr>
      <w:r>
        <w:rPr>
          <w:b/>
        </w:rPr>
        <w:t>Zahlungen:</w:t>
      </w:r>
      <w:r>
        <w:t xml:space="preserve"> mehrere Überweisungen 2023 bis 2025</w:t>
      </w:r>
    </w:p>
    <w:p>
      <w:pPr>
        <w:jc w:val="left"/>
      </w:pPr>
      <w:r>
        <w:rPr>
          <w:b/>
        </w:rPr>
        <w:t>Risikoklasse:</w:t>
      </w:r>
      <w:r>
        <w:t xml:space="preserve"> Formular: "dynamisch / sehr erfahren"</w:t>
      </w:r>
    </w:p>
    <w:p>
      <w:pPr>
        <w:pStyle w:val="Heading3"/>
      </w:pPr>
      <w:r>
        <w:rPr>
          <w:rFonts w:ascii="Times New Roman" w:hAnsi="Times New Roman"/>
        </w:rPr>
        <w:t>Widerspruch zum Betreuungsbild</w:t>
      </w:r>
    </w:p>
    <w:p>
      <w:pPr>
        <w:jc w:val="left"/>
      </w:pPr>
      <w:r>
        <w:t>Im Beratungsbogen sind angekreuzt:</w:t>
      </w:r>
    </w:p>
    <w:p>
      <w:pPr>
        <w:pStyle w:val="ListBullet"/>
      </w:pPr>
      <w:r>
        <w:t>Anlageerfahrung mit Aktien, Anleihen, Derivaten und Private Markets,</w:t>
      </w:r>
    </w:p>
    <w:p>
      <w:pPr>
        <w:pStyle w:val="ListBullet"/>
      </w:pPr>
      <w:r>
        <w:t>frei verfügbares Vermögen über 250.000 EUR,</w:t>
      </w:r>
    </w:p>
    <w:p>
      <w:pPr>
        <w:pStyle w:val="ListBullet"/>
      </w:pPr>
      <w:r>
        <w:t>Anlagehorizont 10 Jahre,</w:t>
      </w:r>
    </w:p>
    <w:p>
      <w:pPr>
        <w:pStyle w:val="ListBullet"/>
      </w:pPr>
      <w:r>
        <w:t>Verlusttragfähigkeit "hoch".</w:t>
      </w:r>
    </w:p>
    <w:p>
      <w:pPr>
        <w:jc w:val="left"/>
      </w:pPr>
      <w:r>
        <w:t>Bekannt ist dagegen:</w:t>
      </w:r>
    </w:p>
    <w:p>
      <w:pPr>
        <w:pStyle w:val="ListBullet"/>
      </w:pPr>
      <w:r>
        <w:t>Rente und kleine Mieteinnahmen,</w:t>
      </w:r>
    </w:p>
    <w:p>
      <w:pPr>
        <w:pStyle w:val="ListBullet"/>
      </w:pPr>
      <w:r>
        <w:t>keine erkennbare Kapitalmarkterfahrung,</w:t>
      </w:r>
    </w:p>
    <w:p>
      <w:pPr>
        <w:pStyle w:val="ListBullet"/>
      </w:pPr>
      <w:r>
        <w:t>laufender Unterstützungsbedarf,</w:t>
      </w:r>
    </w:p>
    <w:p>
      <w:pPr>
        <w:pStyle w:val="ListBullet"/>
      </w:pPr>
      <w:r>
        <w:t>Vermögen stark durch Altersvorsorge geprägt.</w:t>
      </w:r>
    </w:p>
    <w:p>
      <w:pPr>
        <w:pStyle w:val="Heading3"/>
      </w:pPr>
      <w:r>
        <w:rPr>
          <w:rFonts w:ascii="Times New Roman" w:hAnsi="Times New Roman"/>
        </w:rPr>
        <w:t>Beleglücken</w:t>
      </w:r>
    </w:p>
    <w:p>
      <w:pPr>
        <w:jc w:val="left"/>
      </w:pPr>
      <w:r>
        <w:t>Es fehlen Geeignetheitserklärung, Kosteninformation, Produktinformationsblatt, Depotnachweis, Widerrufsbelehrung, Beratungsprotokoll mit Uhrzeit und Kommunikationsweg.</w:t>
      </w:r>
    </w:p>
    <w:p>
      <w:pPr>
        <w:pStyle w:val="Heading2"/>
      </w:pPr>
      <w:r>
        <w:rPr>
          <w:rFonts w:ascii="Times New Roman" w:hAnsi="Times New Roman"/>
        </w:rPr>
        <w:t>D. Horizon Property Development S.L.</w:t>
      </w:r>
    </w:p>
    <w:p>
      <w:pPr>
        <w:jc w:val="left"/>
      </w:pPr>
      <w:r>
        <w:rPr>
          <w:b/>
        </w:rPr>
        <w:t>Dokument:</w:t>
      </w:r>
      <w:r>
        <w:t xml:space="preserve"> Reservierungsvereinbarung "Apartamento Sol Naciente"</w:t>
      </w:r>
    </w:p>
    <w:p>
      <w:pPr>
        <w:jc w:val="left"/>
      </w:pPr>
      <w:r>
        <w:rPr>
          <w:b/>
        </w:rPr>
        <w:t>Objekt:</w:t>
      </w:r>
      <w:r>
        <w:t xml:space="preserve"> angeblich Torrevieja, Costa Blanca, Block C, Einheit 2.14</w:t>
      </w:r>
    </w:p>
    <w:p>
      <w:pPr>
        <w:jc w:val="left"/>
      </w:pPr>
      <w:r>
        <w:rPr>
          <w:b/>
        </w:rPr>
        <w:t>Zahlung:</w:t>
      </w:r>
      <w:r>
        <w:t xml:space="preserve"> Reservierungsgebühr 10.000 EUR, weitere Rate angekündigt</w:t>
      </w:r>
    </w:p>
    <w:p>
      <w:pPr>
        <w:jc w:val="left"/>
      </w:pPr>
      <w:r>
        <w:rPr>
          <w:b/>
        </w:rPr>
        <w:t>Sprache:</w:t>
      </w:r>
      <w:r>
        <w:t xml:space="preserve"> deutsch/spanisch, mit Abweichungen</w:t>
      </w:r>
    </w:p>
    <w:p>
      <w:pPr>
        <w:pStyle w:val="Heading3"/>
      </w:pPr>
      <w:r>
        <w:rPr>
          <w:rFonts w:ascii="Times New Roman" w:hAnsi="Times New Roman"/>
        </w:rPr>
        <w:t>Auffällige Passagen</w:t>
      </w:r>
    </w:p>
    <w:p>
      <w:pPr>
        <w:jc w:val="left"/>
      </w:pPr>
      <w:r>
        <w:t>Die deutsche Fassung sagt: "Die Reservierungsgebühr wird bei Nichtabschluss nach Abzug angemessener Kosten erstattet."</w:t>
      </w:r>
    </w:p>
    <w:p>
      <w:pPr>
        <w:jc w:val="left"/>
      </w:pPr>
      <w:r>
        <w:t>Die spanische Fassung sagt sinngemäß: "Die Reservierungsgebühr verfällt bei jeder Käuferverzögerung."</w:t>
      </w:r>
    </w:p>
    <w:p>
      <w:pPr>
        <w:jc w:val="left"/>
      </w:pPr>
      <w:r>
        <w:t>Diese Abweichung ist zentral. Es muss geklärt werden, welche Fassung Vertragsbestandteil wurde und ob Herr Schmalfeld die Tragweite verstand.</w:t>
      </w:r>
    </w:p>
    <w:p>
      <w:pPr>
        <w:pStyle w:val="Heading3"/>
      </w:pPr>
      <w:r>
        <w:rPr>
          <w:rFonts w:ascii="Times New Roman" w:hAnsi="Times New Roman"/>
        </w:rPr>
        <w:t>Plausibilitätsproblem</w:t>
      </w:r>
    </w:p>
    <w:p>
      <w:pPr>
        <w:jc w:val="left"/>
      </w:pPr>
      <w:r>
        <w:t>Herr Schmalfeld war seit 2019 nicht im Ausland und besitzt keinen Reisepass im Wohnungsordner. Es gibt keine Unterlagen zu Finanzierung, Notar, Grundbuch, Nebenkosten oder Nutzung. Die Reservierung wirkt isoliert.</w:t>
      </w:r>
    </w:p>
    <w:p>
      <w:pPr>
        <w:pStyle w:val="Heading2"/>
      </w:pPr>
      <w:r>
        <w:rPr>
          <w:rFonts w:ascii="Times New Roman" w:hAnsi="Times New Roman"/>
        </w:rPr>
        <w:t>E. SafeGold Edelmetallhandel GmbH</w:t>
      </w:r>
    </w:p>
    <w:p>
      <w:pPr>
        <w:jc w:val="left"/>
      </w:pPr>
      <w:r>
        <w:rPr>
          <w:b/>
        </w:rPr>
        <w:t>Dokument:</w:t>
      </w:r>
      <w:r>
        <w:t xml:space="preserve"> Goldsparplan und "Lagerzertifikat Sammelverwahrung"</w:t>
      </w:r>
    </w:p>
    <w:p>
      <w:pPr>
        <w:jc w:val="left"/>
      </w:pPr>
      <w:r>
        <w:rPr>
          <w:b/>
        </w:rPr>
        <w:t>Zahlungen:</w:t>
      </w:r>
      <w:r>
        <w:t xml:space="preserve"> 250 EUR monatlich plus Einzelkauf 2.919,90 EUR</w:t>
      </w:r>
    </w:p>
    <w:p>
      <w:pPr>
        <w:jc w:val="left"/>
      </w:pPr>
      <w:r>
        <w:rPr>
          <w:b/>
        </w:rPr>
        <w:t>Problem:</w:t>
      </w:r>
      <w:r>
        <w:t xml:space="preserve"> Eigentumslage und Aussonderbarkeit unklar.</w:t>
      </w:r>
    </w:p>
    <w:p>
      <w:pPr>
        <w:jc w:val="left"/>
      </w:pPr>
      <w:r>
        <w:t>Das Zertifikat enthält nur eine interne Nummer SG-24-1109-77. Es gibt keine Barren- oder Seriennummer, keine Lagerstelle, keinen Treuhänder, keine Versicherungsbestätigung. Die Betreuerin sollte keine Verwertung zusagen, bevor geklärt ist, ob physisches Gold individualisiert ist.</w:t>
      </w:r>
    </w:p>
    <w:p>
      <w:pPr>
        <w:pStyle w:val="Heading2"/>
      </w:pPr>
      <w:r>
        <w:rPr>
          <w:rFonts w:ascii="Times New Roman" w:hAnsi="Times New Roman"/>
        </w:rPr>
        <w:t>F. Diamanten Kontor Hamburg GmbH</w:t>
      </w:r>
    </w:p>
    <w:p>
      <w:pPr>
        <w:jc w:val="left"/>
      </w:pPr>
      <w:r>
        <w:rPr>
          <w:b/>
        </w:rPr>
        <w:t>Dokument:</w:t>
      </w:r>
      <w:r>
        <w:t xml:space="preserve"> Rechnung "Investmentstein 0,7 ct"</w:t>
      </w:r>
    </w:p>
    <w:p>
      <w:pPr>
        <w:jc w:val="left"/>
      </w:pPr>
      <w:r>
        <w:rPr>
          <w:b/>
        </w:rPr>
        <w:t>Betrag:</w:t>
      </w:r>
      <w:r>
        <w:t xml:space="preserve"> 4.719,00 EUR</w:t>
      </w:r>
    </w:p>
    <w:p>
      <w:pPr>
        <w:jc w:val="left"/>
      </w:pPr>
      <w:r>
        <w:rPr>
          <w:b/>
        </w:rPr>
        <w:t>Zertifikat:</w:t>
      </w:r>
      <w:r>
        <w:t xml:space="preserve"> "DKH Authenticity Card", keine unabhängige Prüfstelle.</w:t>
      </w:r>
    </w:p>
    <w:p>
      <w:pPr>
        <w:jc w:val="left"/>
      </w:pPr>
      <w:r>
        <w:t>Eine Rückgabe wird im Kleingedruckten ausgeschlossen, "da es sich um Ware mit schwankendem Marktpreis" handele. Ob diese Klausel trägt, ist offen. Vordringlich: Stein auffinden, Echtheit unabhängig prüfen, Zahlungsweg sichern.</w:t>
      </w:r>
    </w:p>
    <w:p>
      <w:pPr>
        <w:pStyle w:val="Heading2"/>
      </w:pPr>
      <w:r>
        <w:rPr>
          <w:rFonts w:ascii="Times New Roman" w:hAnsi="Times New Roman"/>
        </w:rPr>
        <w:t>G. Sortierung für Maßnahmen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Korb</w:t>
            </w:r>
          </w:p>
        </w:tc>
        <w:tc>
          <w:tcPr>
            <w:tcW w:type="dxa" w:w="3024"/>
          </w:tcPr>
          <w:p>
            <w:r>
              <w:rPr>
                <w:rFonts w:ascii="Times New Roman" w:hAnsi="Times New Roman"/>
                <w:b/>
                <w:sz w:val="20"/>
              </w:rPr>
              <w:t>Vorgänge</w:t>
            </w:r>
          </w:p>
        </w:tc>
        <w:tc>
          <w:tcPr>
            <w:tcW w:type="dxa" w:w="3024"/>
          </w:tcPr>
          <w:p>
            <w:r>
              <w:rPr>
                <w:rFonts w:ascii="Times New Roman" w:hAnsi="Times New Roman"/>
                <w:b/>
                <w:sz w:val="20"/>
              </w:rPr>
              <w:t>Maßnahme</w:t>
            </w:r>
          </w:p>
        </w:tc>
      </w:tr>
      <w:tr>
        <w:tc>
          <w:tcPr>
            <w:tcW w:type="dxa" w:w="3024"/>
          </w:tcPr>
          <w:p>
            <w:r>
              <w:rPr>
                <w:rFonts w:ascii="Times New Roman" w:hAnsi="Times New Roman"/>
                <w:sz w:val="20"/>
              </w:rPr>
              <w:t>Sicherung sofort</w:t>
            </w:r>
          </w:p>
        </w:tc>
        <w:tc>
          <w:tcPr>
            <w:tcW w:type="dxa" w:w="3024"/>
          </w:tcPr>
          <w:p>
            <w:r>
              <w:rPr>
                <w:rFonts w:ascii="Times New Roman" w:hAnsi="Times New Roman"/>
                <w:sz w:val="20"/>
              </w:rPr>
              <w:t>PC-Doktor, Digital-Schutz24, Onlinebanking, Auslandsüberweisungen</w:t>
            </w:r>
          </w:p>
        </w:tc>
        <w:tc>
          <w:tcPr>
            <w:tcW w:type="dxa" w:w="3024"/>
          </w:tcPr>
          <w:p>
            <w:r>
              <w:rPr>
                <w:rFonts w:ascii="Times New Roman" w:hAnsi="Times New Roman"/>
                <w:sz w:val="20"/>
              </w:rPr>
              <w:t>Bank- und IT-Schutz, Auskunft, Fernzugriff stoppen</w:t>
            </w:r>
          </w:p>
        </w:tc>
      </w:tr>
      <w:tr>
        <w:tc>
          <w:tcPr>
            <w:tcW w:type="dxa" w:w="3024"/>
          </w:tcPr>
          <w:p>
            <w:r>
              <w:rPr>
                <w:rFonts w:ascii="Times New Roman" w:hAnsi="Times New Roman"/>
                <w:sz w:val="20"/>
              </w:rPr>
              <w:t>Auskunft vor Bewertung</w:t>
            </w:r>
          </w:p>
        </w:tc>
        <w:tc>
          <w:tcPr>
            <w:tcW w:type="dxa" w:w="3024"/>
          </w:tcPr>
          <w:p>
            <w:r>
              <w:rPr>
                <w:rFonts w:ascii="Times New Roman" w:hAnsi="Times New Roman"/>
                <w:sz w:val="20"/>
              </w:rPr>
              <w:t>Helvetica, Horizon, SafeGold, Diamanten Kontor</w:t>
            </w:r>
          </w:p>
        </w:tc>
        <w:tc>
          <w:tcPr>
            <w:tcW w:type="dxa" w:w="3024"/>
          </w:tcPr>
          <w:p>
            <w:r>
              <w:rPr>
                <w:rFonts w:ascii="Times New Roman" w:hAnsi="Times New Roman"/>
                <w:sz w:val="20"/>
              </w:rPr>
              <w:t>Unterlagen, Produktstatus, Zahlungsweg, Identität der Vermittler</w:t>
            </w:r>
          </w:p>
        </w:tc>
      </w:tr>
      <w:tr>
        <w:tc>
          <w:tcPr>
            <w:tcW w:type="dxa" w:w="3024"/>
          </w:tcPr>
          <w:p>
            <w:r>
              <w:rPr>
                <w:rFonts w:ascii="Times New Roman" w:hAnsi="Times New Roman"/>
                <w:sz w:val="20"/>
              </w:rPr>
              <w:t>Kündigung/Rücklastschrift prüfen</w:t>
            </w:r>
          </w:p>
        </w:tc>
        <w:tc>
          <w:tcPr>
            <w:tcW w:type="dxa" w:w="3024"/>
          </w:tcPr>
          <w:p>
            <w:r>
              <w:rPr>
                <w:rFonts w:ascii="Times New Roman" w:hAnsi="Times New Roman"/>
                <w:sz w:val="20"/>
              </w:rPr>
              <w:t>Premium-Kontakte, NKL, SeniorenWohl</w:t>
            </w:r>
          </w:p>
        </w:tc>
        <w:tc>
          <w:tcPr>
            <w:tcW w:type="dxa" w:w="3024"/>
          </w:tcPr>
          <w:p>
            <w:r>
              <w:rPr>
                <w:rFonts w:ascii="Times New Roman" w:hAnsi="Times New Roman"/>
                <w:sz w:val="20"/>
              </w:rPr>
              <w:t>Laufzeit, SEPA-Mandat, Wunsch des Betroffenen</w:t>
            </w:r>
          </w:p>
        </w:tc>
      </w:tr>
      <w:tr>
        <w:tc>
          <w:tcPr>
            <w:tcW w:type="dxa" w:w="3024"/>
          </w:tcPr>
          <w:p>
            <w:r>
              <w:rPr>
                <w:rFonts w:ascii="Times New Roman" w:hAnsi="Times New Roman"/>
                <w:sz w:val="20"/>
              </w:rPr>
              <w:t>Nicht vorschnell angreifen</w:t>
            </w:r>
          </w:p>
        </w:tc>
        <w:tc>
          <w:tcPr>
            <w:tcW w:type="dxa" w:w="3024"/>
          </w:tcPr>
          <w:p>
            <w:r>
              <w:rPr>
                <w:rFonts w:ascii="Times New Roman" w:hAnsi="Times New Roman"/>
                <w:sz w:val="20"/>
              </w:rPr>
              <w:t>Miete, KV/PV, Strom, Telefon, Frau Petrova</w:t>
            </w:r>
          </w:p>
        </w:tc>
        <w:tc>
          <w:tcPr>
            <w:tcW w:type="dxa" w:w="3024"/>
          </w:tcPr>
          <w:p>
            <w:r>
              <w:rPr>
                <w:rFonts w:ascii="Times New Roman" w:hAnsi="Times New Roman"/>
                <w:sz w:val="20"/>
              </w:rPr>
              <w:t>Versorgung sichern, Belege nachfordern</w:t>
            </w:r>
          </w:p>
        </w:tc>
      </w:tr>
    </w:tbl>
    <w:p>
      <w:pPr>
        <w:pStyle w:val="Heading2"/>
      </w:pPr>
      <w:r>
        <w:rPr>
          <w:rFonts w:ascii="Times New Roman" w:hAnsi="Times New Roman"/>
        </w:rPr>
        <w:t>H. Offene Linie</w:t>
      </w:r>
    </w:p>
    <w:p>
      <w:pPr>
        <w:jc w:val="left"/>
      </w:pPr>
      <w:r>
        <w:t>Die Akte legt mehrere Schutzbedarfe nahe, aber sie beweist nicht in jedem Punkt Missbrauch. Gerade bei Frau Petrova, Nachbar Kröger und einzelnen Alltagsverträgen muss die Prüfung nüchtern bleiben. Ziel ist ein belastbarer Maßnahmenplan, nicht die pauschale Rückabwicklung des ganzen Lebens.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 PC-Doktor Nordost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A. PC-Doktor Nordost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