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Mandatsübernahme Marquardt (Kanzleinotiz)</w:t>
      </w:r>
    </w:p>
    <w:p>
      <w:pPr>
        <w:jc w:val="left"/>
      </w:pPr>
      <w:r>
        <w:rPr>
          <w:b/>
        </w:rPr>
        <w:t>Kanzlei:</w:t>
      </w:r>
      <w:r>
        <w:t xml:space="preserve"> Dr. Cornelia Vellbruck-Steinheim, Rechtsanwältin und Steuerberaterin / Falk Roosendaal, Steuerberater Dipl.-Kfm.</w:t>
      </w:r>
    </w:p>
    <w:p>
      <w:pPr>
        <w:jc w:val="left"/>
      </w:pPr>
      <w:r>
        <w:rPr>
          <w:b/>
        </w:rPr>
        <w:t>Kanzlei-AZ:</w:t>
      </w:r>
      <w:r>
        <w:t xml:space="preserve"> VS-2026-StR-0508</w:t>
      </w:r>
    </w:p>
    <w:p>
      <w:pPr>
        <w:jc w:val="left"/>
      </w:pPr>
      <w:r>
        <w:rPr>
          <w:b/>
        </w:rPr>
        <w:t>Datum Erstgespräch:</w:t>
      </w:r>
      <w:r>
        <w:t xml:space="preserve"> 04.02.2026</w:t>
      </w:r>
    </w:p>
    <w:p>
      <w:pPr>
        <w:jc w:val="left"/>
      </w:pPr>
      <w:r>
        <w:rPr>
          <w:b/>
        </w:rPr>
        <w:t>Gesprächsdauer:</w:t>
      </w:r>
      <w:r>
        <w:t xml:space="preserve"> ca. 90 Minuten</w:t>
      </w:r>
    </w:p>
    <w:p>
      <w:pPr>
        <w:jc w:val="left"/>
      </w:pPr>
      <w:r>
        <w:rPr>
          <w:b/>
        </w:rPr>
        <w:t>Anwesende:</w:t>
      </w:r>
      <w:r>
        <w:t xml:space="preserve"> Reinhard Marquardt-Eichenmüller (GF), Brigitte Marquardt-Eichenmüller (Ehefrau, stille Kommanditistin), Dr. Vellbruck-Steinheim, StB Roosendaal</w:t>
      </w:r>
    </w:p>
    <w:p/>
    <w:p>
      <w:pPr>
        <w:pStyle w:val="Heading2"/>
      </w:pPr>
      <w:r>
        <w:rPr>
          <w:rFonts w:ascii="Times New Roman" w:hAnsi="Times New Roman"/>
        </w:rPr>
        <w:t>Sachverhaltsaufnahme</w:t>
      </w:r>
    </w:p>
    <w:p>
      <w:pPr>
        <w:jc w:val="left"/>
      </w:pPr>
      <w:r>
        <w:t>Herr Reinhard Marquardt-Eichenmüller erscheint mit seiner Ehefrau und legt eine Prüfungsanordnung des Finanzamts Augsburg-Stadt vom 27.01.2026 vor (Steuernummer 142/9999/1234). Die Prüfungsanordnung umfasst die Veranlagungszeiträume 2020 bis 2024 und betrifft die Marquardt Handelsvertretung Maschinenbau GmbH &amp; Co. KG (nachfolgend: KG) sowie die persönliche Einkommensteuer des Geschäftsführers.</w:t>
      </w:r>
    </w:p>
    <w:p>
      <w:pPr>
        <w:jc w:val="left"/>
      </w:pPr>
      <w:r>
        <w:t>Herr Marquardt-Eichenmüller schildert spontan folgende Punkte als potenziell problematisch:</w:t>
      </w:r>
    </w:p>
    <w:p>
      <w:pPr>
        <w:pStyle w:val="ListBullet"/>
      </w:pPr>
      <w:r>
        <w:t>Der Pkw-Pool (7 Fahrzeuge) sei überwiegend aus Gründen der Außenwirkung beschafft worden; Fahrtenbücher existieren nur für 2 Fahrzeuge.</w:t>
      </w:r>
    </w:p>
    <w:p>
      <w:pPr>
        <w:pStyle w:val="ListBullet"/>
      </w:pPr>
      <w:r>
        <w:t>Die Ferienwohnung auf Mallorca werde teils durch seinen Sohn Stefan (26 Jahre, Student) bewohnt; ein schriftlicher Mietvertrag fehle.</w:t>
      </w:r>
    </w:p>
    <w:p>
      <w:pPr>
        <w:pStyle w:val="ListBullet"/>
      </w:pPr>
      <w:r>
        <w:t>Sein Bruder Heinz Marquardt führe als Subunternehmer Vertriebstätigkeiten durch; das Honorar von 95.000 EUR/Jahr (2020–2024) habe der Prüfer bereits bei einer früheren Prüfung 2018 beanstandet.</w:t>
      </w:r>
    </w:p>
    <w:p>
      <w:pPr>
        <w:pStyle w:val="ListBullet"/>
      </w:pPr>
      <w:r>
        <w:t>Die Marquardt Luxembourg S.à r.l. sei auf Anraten eines Schweizer Beraters 2018 gegründet worden; dort würden Provisionen aus dem Portugal-Geschäft vereinnahmt.</w:t>
      </w:r>
    </w:p>
    <w:p>
      <w:pPr>
        <w:jc w:val="left"/>
      </w:pPr>
      <w:r>
        <w:t>StB Roosendaal ergänzt: Im Jahr 2023 wurden zwei portugiesische Lieferantenrechnungen ohne vollständige Pflichtangaben nach § 14 UStG zum Vorsteuerabzug angesetzt (Gesamtbetrag 41.200 EUR Vorsteuer).</w:t>
      </w:r>
    </w:p>
    <w:p/>
    <w:p>
      <w:pPr>
        <w:pStyle w:val="Heading2"/>
      </w:pPr>
      <w:r>
        <w:rPr>
          <w:rFonts w:ascii="Times New Roman" w:hAnsi="Times New Roman"/>
        </w:rPr>
        <w:t>Interessenkollisionsprüfung</w:t>
      </w:r>
    </w:p>
    <w:p>
      <w:pPr>
        <w:jc w:val="left"/>
      </w:pPr>
      <w:r>
        <w:t>Eine Interessenkollision mit bestehenden Mandaten ist nicht ersichtlich. Die KG und Herr Marquardt-Eichenmüller persönlich sind bisher steuerlich durch Kanzlei Hertl &amp; Partner betreut worden; das Mandat wird vollständig an VS-2026-StR-0508 übertragen. Die frühere Kanzlei wird zur Übergabe sämtlicher Unterlagen aufgefordert.</w:t>
      </w:r>
    </w:p>
    <w:p/>
    <w:p>
      <w:pPr>
        <w:pStyle w:val="Heading2"/>
      </w:pPr>
      <w:r>
        <w:rPr>
          <w:rFonts w:ascii="Times New Roman" w:hAnsi="Times New Roman"/>
        </w:rPr>
        <w:t>Vorläufige Risikoeinschätzung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Pkw-Pool 1%-Regelung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18.000–45.000 Nachsteuer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Firmenwohnung Mallorca vGA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80.000–140.000 Nachsteuer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Fremdvergleich Bruder vGA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120.000–280.000 Nachsteuer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Vorsteuer Portugal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41.200 Nachsteuer + Zinsen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Luxemburg-Tochter AStG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200.000–600.000 Hinzurechnung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Kassenführung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EUR 20.000–80.000 Schätzung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Strafrecht § 370 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Freiheitsstrafe auf Bewährung möglich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existenziell</w:t>
            </w:r>
          </w:p>
        </w:tc>
      </w:tr>
    </w:tbl>
    <w:p>
      <w:pPr>
        <w:jc w:val="left"/>
      </w:pPr>
      <w:r>
        <w:rPr>
          <w:b/>
        </w:rPr>
        <w:t>Gesamtexposure (Schätzung):</w:t>
      </w:r>
      <w:r>
        <w:t xml:space="preserve"> EUR 480.000 bis EUR 1.185.000 Steuer und Zinsen, zzgl. etwaiger Strafrahmen.</w:t>
      </w:r>
    </w:p>
    <w:p/>
    <w:p>
      <w:pPr>
        <w:pStyle w:val="Heading2"/>
      </w:pPr>
      <w:r>
        <w:rPr>
          <w:rFonts w:ascii="Times New Roman" w:hAnsi="Times New Roman"/>
        </w:rPr>
        <w:t>Vollmacht und Mandatsbedingungen</w:t>
      </w:r>
    </w:p>
    <w:p>
      <w:pPr>
        <w:jc w:val="left"/>
      </w:pPr>
      <w:r>
        <w:t>Die Vollmacht (§§ 80 AO, 13 BRAO) wird heute unterzeichnet. Sie umfasst die steuerliche und steuerstrafrechtliche Vertretung gegenüber Finanzbehörden, Gerichten sowie der Staatsanwaltschaft. Eine separate strafrechtliche Vollmacht nach § 137 StPO wird vorbereitet.</w:t>
      </w:r>
    </w:p>
    <w:p>
      <w:pPr>
        <w:jc w:val="left"/>
      </w:pPr>
      <w:r>
        <w:t>Honorar: Rahmenvereinbarung nach StBVV und RVG, Stundensatz Dr. Vellbruck-Steinheim EUR 380 netto, StB Roosendaal EUR 240 netto; Kostenvorschuss EUR 15.000 sofort fällig.</w:t>
      </w:r>
    </w:p>
    <w:p/>
    <w:p>
      <w:pPr>
        <w:pStyle w:val="Heading2"/>
      </w:pPr>
      <w:r>
        <w:rPr>
          <w:rFonts w:ascii="Times New Roman" w:hAnsi="Times New Roman"/>
        </w:rPr>
        <w:t>Nächste Schritte</w:t>
      </w:r>
    </w:p>
    <w:p>
      <w:pPr>
        <w:pStyle w:val="ListNumber"/>
      </w:pPr>
      <w:r>
        <w:t>Prüfungsanordnung analysieren, Fristverlängerungsantrag stellen (§ 197 Abs. 2 AO).</w:t>
      </w:r>
    </w:p>
    <w:p>
      <w:pPr>
        <w:pStyle w:val="ListNumber"/>
      </w:pPr>
      <w:r>
        <w:t>Vollständige Unterlagen 2020–2024 anfordern (Bilanzen, Kontenblätter, Belege Luxemburg).</w:t>
      </w:r>
    </w:p>
    <w:p>
      <w:pPr>
        <w:pStyle w:val="ListNumber"/>
      </w:pPr>
      <w:r>
        <w:t>Risikoworkshop mit Mandant innerhalb 14 Tagen.</w:t>
      </w:r>
    </w:p>
    <w:p>
      <w:pPr>
        <w:pStyle w:val="ListNumber"/>
      </w:pPr>
      <w:r>
        <w:t>Ersteinschätzung Selbstanzeigemöglichkeit § 371 AO (Luxemburg).</w:t>
      </w:r>
    </w:p>
    <w:p/>
    <w:p>
      <w:pPr>
        <w:jc w:val="left"/>
      </w:pPr>
      <w:r>
        <w:rPr>
          <w:i/>
        </w:rPr>
        <w:t>Notiert: Dr. Cornelia Vellbruck-Steinheim, 04.02.2026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Steuerberater Dipl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STEUERBERATER DIPL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Rechtsanwältin und Steuerberaterin / Falk Roosendaal, Steuerberater Dipl.-Kfm.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